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89" w:rsidRPr="0086149C" w:rsidRDefault="00C04BFE" w:rsidP="0086149C">
      <w:pPr>
        <w:jc w:val="center"/>
        <w:rPr>
          <w:rFonts w:ascii="仿宋_GB2312" w:eastAsia="仿宋_GB2312"/>
          <w:b/>
          <w:sz w:val="36"/>
          <w:szCs w:val="36"/>
        </w:rPr>
      </w:pPr>
      <w:r w:rsidRPr="0086149C">
        <w:rPr>
          <w:rFonts w:ascii="仿宋_GB2312" w:eastAsia="仿宋_GB2312" w:hint="eastAsia"/>
          <w:b/>
          <w:sz w:val="36"/>
          <w:szCs w:val="36"/>
        </w:rPr>
        <w:t>材料科学与工程学院研究生奖学金评比办法（修订）</w:t>
      </w:r>
    </w:p>
    <w:p w:rsidR="00574989" w:rsidRPr="0086149C" w:rsidRDefault="00C04BFE" w:rsidP="0086149C">
      <w:pPr>
        <w:spacing w:beforeLines="50" w:before="156" w:line="400" w:lineRule="exact"/>
        <w:ind w:firstLineChars="200" w:firstLine="560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根据东南大学研究生手册有关文件规定，按照“培养和造就高层次、高质量社会主义建设者和接班人”的基本要求，制定以下办法作为我院研究生奖学金评比的主要依据</w:t>
      </w:r>
      <w:r w:rsidR="0086149C">
        <w:rPr>
          <w:rFonts w:ascii="仿宋_GB2312" w:eastAsia="仿宋_GB2312" w:hint="eastAsia"/>
          <w:sz w:val="28"/>
        </w:rPr>
        <w:t>。</w:t>
      </w:r>
    </w:p>
    <w:p w:rsidR="00574989" w:rsidRPr="0086149C" w:rsidRDefault="00C04BFE" w:rsidP="00004E07">
      <w:p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32"/>
        </w:rPr>
        <w:t>一、基本条件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在籍在册全日制的研究生（定向、委培研究生除外）本人提出</w:t>
      </w:r>
      <w:r w:rsidR="00004E07">
        <w:rPr>
          <w:rFonts w:ascii="仿宋_GB2312" w:eastAsia="仿宋_GB2312" w:hint="eastAsia"/>
          <w:sz w:val="28"/>
        </w:rPr>
        <w:t xml:space="preserve">       </w:t>
      </w:r>
      <w:r w:rsidRPr="00324E12">
        <w:rPr>
          <w:rFonts w:ascii="仿宋_GB2312" w:eastAsia="仿宋_GB2312" w:hint="eastAsia"/>
          <w:sz w:val="28"/>
        </w:rPr>
        <w:t>申请，参评硕士研究生在读时间不得超过</w:t>
      </w:r>
      <w:r w:rsidR="008634DD" w:rsidRPr="00324E12">
        <w:rPr>
          <w:rFonts w:ascii="仿宋_GB2312" w:eastAsia="仿宋_GB2312" w:hint="eastAsia"/>
          <w:sz w:val="28"/>
        </w:rPr>
        <w:t>3</w:t>
      </w:r>
      <w:r w:rsidR="00655142" w:rsidRPr="00324E12">
        <w:rPr>
          <w:rFonts w:ascii="仿宋_GB2312" w:eastAsia="仿宋_GB2312" w:hint="eastAsia"/>
          <w:sz w:val="28"/>
        </w:rPr>
        <w:t>年，参评博士研究生在读时间不得超学制</w:t>
      </w:r>
      <w:r w:rsidRPr="00324E12">
        <w:rPr>
          <w:rFonts w:ascii="仿宋_GB2312" w:eastAsia="仿宋_GB2312" w:hint="eastAsia"/>
          <w:sz w:val="28"/>
        </w:rPr>
        <w:t>（</w:t>
      </w:r>
      <w:r w:rsidR="00655142" w:rsidRPr="00324E12">
        <w:rPr>
          <w:rFonts w:ascii="仿宋_GB2312" w:eastAsia="仿宋_GB2312" w:hint="eastAsia"/>
          <w:sz w:val="28"/>
        </w:rPr>
        <w:t>博士一般不超过3.5年，</w:t>
      </w:r>
      <w:r w:rsidR="00F60528">
        <w:rPr>
          <w:rFonts w:ascii="仿宋_GB2312" w:eastAsia="仿宋_GB2312" w:hint="eastAsia"/>
          <w:sz w:val="28"/>
        </w:rPr>
        <w:t>17年</w:t>
      </w:r>
      <w:r w:rsidR="00032F95">
        <w:rPr>
          <w:rFonts w:ascii="仿宋_GB2312" w:eastAsia="仿宋_GB2312" w:hint="eastAsia"/>
          <w:sz w:val="28"/>
        </w:rPr>
        <w:t>及</w:t>
      </w:r>
      <w:r w:rsidR="00F60528">
        <w:rPr>
          <w:rFonts w:ascii="仿宋_GB2312" w:eastAsia="仿宋_GB2312" w:hint="eastAsia"/>
          <w:sz w:val="28"/>
        </w:rPr>
        <w:t>以后入学的博士不超过4年，</w:t>
      </w:r>
      <w:r w:rsidRPr="00324E12">
        <w:rPr>
          <w:rFonts w:ascii="仿宋_GB2312" w:eastAsia="仿宋_GB2312" w:hint="eastAsia"/>
          <w:sz w:val="28"/>
        </w:rPr>
        <w:t>硕博连读生、</w:t>
      </w:r>
      <w:proofErr w:type="gramStart"/>
      <w:r w:rsidRPr="00324E12">
        <w:rPr>
          <w:rFonts w:ascii="仿宋_GB2312" w:eastAsia="仿宋_GB2312" w:hint="eastAsia"/>
          <w:sz w:val="28"/>
        </w:rPr>
        <w:t>直博生在读</w:t>
      </w:r>
      <w:proofErr w:type="gramEnd"/>
      <w:r w:rsidRPr="00324E12">
        <w:rPr>
          <w:rFonts w:ascii="仿宋_GB2312" w:eastAsia="仿宋_GB2312" w:hint="eastAsia"/>
          <w:sz w:val="28"/>
        </w:rPr>
        <w:t>时间不得超过5年，优</w:t>
      </w:r>
      <w:r w:rsidRPr="0086149C">
        <w:rPr>
          <w:rFonts w:ascii="仿宋_GB2312" w:eastAsia="仿宋_GB2312" w:hAnsi="宋体" w:hint="eastAsia"/>
          <w:sz w:val="28"/>
          <w:szCs w:val="24"/>
        </w:rPr>
        <w:t>秀博士学位论文培育对象不受此限）</w:t>
      </w:r>
      <w:r w:rsidR="00004E07">
        <w:rPr>
          <w:rFonts w:ascii="仿宋_GB2312" w:eastAsia="仿宋_GB2312" w:hAnsi="宋体" w:hint="eastAsia"/>
          <w:sz w:val="28"/>
          <w:szCs w:val="24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原则上在学制内的博士生二年级以上（含二年级）和硕士二、三年级同学中评比，已取得攻读博士资格的同学在同等情况下优先考虑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受校纪处分者，从被查出之日起一年内不得参加奖学金评比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申请者须修满本专业培养方案所规定的学分，无不及格科目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原则上每位研究生在</w:t>
      </w:r>
      <w:proofErr w:type="gramStart"/>
      <w:r w:rsidRPr="0086149C">
        <w:rPr>
          <w:rFonts w:ascii="仿宋_GB2312" w:eastAsia="仿宋_GB2312" w:hint="eastAsia"/>
          <w:sz w:val="28"/>
        </w:rPr>
        <w:t>一</w:t>
      </w:r>
      <w:proofErr w:type="gramEnd"/>
      <w:r w:rsidRPr="0086149C">
        <w:rPr>
          <w:rFonts w:ascii="仿宋_GB2312" w:eastAsia="仿宋_GB2312" w:hint="eastAsia"/>
          <w:sz w:val="28"/>
        </w:rPr>
        <w:t>学年内只能获得一次奖学金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获得研究生国家奖学金的同学不可再申报其他奖学金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再次参与评奖的研究生只能提交前次获奖时间后的文章和科研成果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申请研究生的所有文章和科研成果必须第一署名单位是东南大学</w:t>
      </w:r>
      <w:r w:rsidR="00900EC5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adjustRightInd w:val="0"/>
        <w:snapToGrid w:val="0"/>
        <w:spacing w:beforeLines="50" w:before="156"/>
        <w:jc w:val="both"/>
        <w:rPr>
          <w:rFonts w:ascii="仿宋_GB2312" w:eastAsia="仿宋_GB2312"/>
          <w:sz w:val="32"/>
        </w:rPr>
      </w:pPr>
      <w:r w:rsidRPr="0086149C">
        <w:rPr>
          <w:rFonts w:ascii="仿宋_GB2312" w:eastAsia="仿宋_GB2312" w:hint="eastAsia"/>
          <w:sz w:val="32"/>
        </w:rPr>
        <w:t>二、评比方法</w:t>
      </w:r>
    </w:p>
    <w:p w:rsidR="00574989" w:rsidRPr="0086149C" w:rsidRDefault="00C04BFE" w:rsidP="00004E07">
      <w:pPr>
        <w:adjustRightInd w:val="0"/>
        <w:snapToGrid w:val="0"/>
        <w:ind w:firstLineChars="200" w:firstLine="56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由学院评审委员会对申请者进行综合评比：学习成绩、科研情况、品行得分（操行等级、团体活动）三部分形成综合得分，按综合得分高低排序进行评比，博士生跨年级排序评比，硕士生按年级排序评比。</w:t>
      </w:r>
    </w:p>
    <w:p w:rsidR="00574989" w:rsidRPr="0086149C" w:rsidRDefault="00C04BFE" w:rsidP="00004E07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学习成绩：</w:t>
      </w:r>
    </w:p>
    <w:p w:rsidR="00574989" w:rsidRPr="0086149C" w:rsidRDefault="00C04BFE" w:rsidP="00004E07">
      <w:pPr>
        <w:adjustRightInd w:val="0"/>
        <w:snapToGrid w:val="0"/>
        <w:ind w:leftChars="240" w:left="480" w:firstLineChars="150" w:firstLine="42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以规格化成绩为准。</w:t>
      </w:r>
    </w:p>
    <w:p w:rsidR="00574989" w:rsidRPr="0086149C" w:rsidRDefault="00C04BFE" w:rsidP="00004E07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科研得分：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 xml:space="preserve">发表论文： 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除《Science》《Nature》上申请者署名单位为东南大学外，申请者的所有论文必须第一署名单位为东南大学。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lastRenderedPageBreak/>
        <w:t>论文署名为第一作者，SCI</w:t>
      </w:r>
      <w:proofErr w:type="gramStart"/>
      <w:r w:rsidRPr="0086149C">
        <w:rPr>
          <w:rFonts w:ascii="仿宋_GB2312" w:eastAsia="仿宋_GB2312" w:hint="eastAsia"/>
          <w:sz w:val="28"/>
          <w:szCs w:val="24"/>
        </w:rPr>
        <w:t>源刊刊出</w:t>
      </w:r>
      <w:proofErr w:type="gramEnd"/>
      <w:r w:rsidRPr="0086149C">
        <w:rPr>
          <w:rFonts w:ascii="仿宋_GB2312" w:eastAsia="仿宋_GB2312" w:hint="eastAsia"/>
          <w:sz w:val="28"/>
          <w:szCs w:val="24"/>
        </w:rPr>
        <w:t>计8分（影响因子大于等于5的计20分）；EI</w:t>
      </w:r>
      <w:proofErr w:type="gramStart"/>
      <w:r w:rsidRPr="0086149C">
        <w:rPr>
          <w:rFonts w:ascii="仿宋_GB2312" w:eastAsia="仿宋_GB2312" w:hint="eastAsia"/>
          <w:sz w:val="28"/>
          <w:szCs w:val="24"/>
        </w:rPr>
        <w:t>源刊刊出</w:t>
      </w:r>
      <w:proofErr w:type="gramEnd"/>
      <w:r w:rsidRPr="0086149C">
        <w:rPr>
          <w:rFonts w:ascii="仿宋_GB2312" w:eastAsia="仿宋_GB2312" w:hint="eastAsia"/>
          <w:sz w:val="28"/>
          <w:szCs w:val="24"/>
        </w:rPr>
        <w:t>计5分；其他的国内核心刊物和一般国际学术刊物计2分。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国际会议论文集正式出版的论文参照本条第（2）款规定计分。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除《Science》《Nature》外，博士生参评的论文必须署名为第一作者，且以正式刊出为准。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第一作者为指导老师（或协助指导老师），硕士生为第二作者的论文</w:t>
      </w:r>
      <w:proofErr w:type="gramStart"/>
      <w:r w:rsidRPr="0086149C">
        <w:rPr>
          <w:rFonts w:ascii="仿宋_GB2312" w:eastAsia="仿宋_GB2312" w:hint="eastAsia"/>
          <w:sz w:val="28"/>
          <w:szCs w:val="24"/>
        </w:rPr>
        <w:t>参照参照</w:t>
      </w:r>
      <w:proofErr w:type="gramEnd"/>
      <w:r w:rsidRPr="0086149C">
        <w:rPr>
          <w:rFonts w:ascii="仿宋_GB2312" w:eastAsia="仿宋_GB2312" w:hint="eastAsia"/>
          <w:sz w:val="28"/>
          <w:szCs w:val="24"/>
        </w:rPr>
        <w:t>本条第（2）款规定减半计分。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硕士生参评论文一般以录用并且正式刊出为准，如已被SCI、EI</w:t>
      </w:r>
      <w:proofErr w:type="gramStart"/>
      <w:r w:rsidRPr="0086149C">
        <w:rPr>
          <w:rFonts w:ascii="仿宋_GB2312" w:eastAsia="仿宋_GB2312" w:hint="eastAsia"/>
          <w:sz w:val="28"/>
          <w:szCs w:val="24"/>
        </w:rPr>
        <w:t>源刊录用</w:t>
      </w:r>
      <w:proofErr w:type="gramEnd"/>
      <w:r w:rsidRPr="0086149C">
        <w:rPr>
          <w:rFonts w:ascii="仿宋_GB2312" w:eastAsia="仿宋_GB2312" w:hint="eastAsia"/>
          <w:sz w:val="28"/>
          <w:szCs w:val="24"/>
        </w:rPr>
        <w:t>但尚未正式刊出，原则上不计分。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《Science》《Nature》上发表论文，第一作者50分，第二作者30分，第三作者15分，且有录用证明即可参评。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以上条款规定之外的其余论文一律不计分。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发明专利：</w:t>
      </w:r>
    </w:p>
    <w:p w:rsidR="00574989" w:rsidRPr="00A506DB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A506DB">
        <w:rPr>
          <w:rFonts w:ascii="仿宋_GB2312" w:eastAsia="仿宋_GB2312" w:hint="eastAsia"/>
          <w:sz w:val="28"/>
          <w:szCs w:val="24"/>
        </w:rPr>
        <w:t>公开专利，</w:t>
      </w:r>
      <w:r w:rsidR="00B6295B" w:rsidRPr="00A506DB">
        <w:rPr>
          <w:rFonts w:ascii="仿宋_GB2312" w:eastAsia="仿宋_GB2312" w:hint="eastAsia"/>
          <w:sz w:val="28"/>
          <w:szCs w:val="24"/>
        </w:rPr>
        <w:t>专利作者顺位总排名必须在前四位，</w:t>
      </w:r>
      <w:r w:rsidRPr="00A506DB">
        <w:rPr>
          <w:rFonts w:ascii="仿宋_GB2312" w:eastAsia="仿宋_GB2312" w:hint="eastAsia"/>
          <w:sz w:val="28"/>
          <w:szCs w:val="24"/>
        </w:rPr>
        <w:t>在学生中排名第一的计3分，第二的计1.5分。</w:t>
      </w:r>
    </w:p>
    <w:p w:rsidR="00574989" w:rsidRPr="00A506DB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A506DB">
        <w:rPr>
          <w:rFonts w:ascii="仿宋_GB2312" w:eastAsia="仿宋_GB2312" w:hint="eastAsia"/>
          <w:sz w:val="28"/>
          <w:szCs w:val="24"/>
        </w:rPr>
        <w:t>授权专利，</w:t>
      </w:r>
      <w:r w:rsidR="00B6295B" w:rsidRPr="00A506DB">
        <w:rPr>
          <w:rFonts w:ascii="仿宋_GB2312" w:eastAsia="仿宋_GB2312" w:hint="eastAsia"/>
          <w:sz w:val="28"/>
          <w:szCs w:val="24"/>
        </w:rPr>
        <w:t>专利作者顺位总排名必须在前四位，</w:t>
      </w:r>
      <w:r w:rsidRPr="00A506DB">
        <w:rPr>
          <w:rFonts w:ascii="仿宋_GB2312" w:eastAsia="仿宋_GB2312" w:hint="eastAsia"/>
          <w:sz w:val="28"/>
          <w:szCs w:val="24"/>
        </w:rPr>
        <w:t>在学生中排名第一的计6分，第二的计3分。</w:t>
      </w:r>
    </w:p>
    <w:p w:rsidR="00574989" w:rsidRPr="0086149C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在学生中排名第三及之后者不计分。</w:t>
      </w:r>
    </w:p>
    <w:p w:rsidR="00574989" w:rsidRPr="0086149C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已获奖的作为申报依据的公开专利转为授权专利，再次参评可加算补差，学生中排名第一的补3分，学生中排名第二的补1.5分。</w:t>
      </w:r>
    </w:p>
    <w:p w:rsidR="00574989" w:rsidRPr="0086149C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国际专利计分按本条第（1）、（2）款分值的2倍计算。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其他：</w:t>
      </w:r>
    </w:p>
    <w:p w:rsidR="00574989" w:rsidRPr="0086149C" w:rsidRDefault="00C04BFE" w:rsidP="00004E07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研究生在读期间，正式出版的本专业著作由申请者本人撰写五万字以上，并在著作中以东南大学研究生身份出现的，计8分。</w:t>
      </w:r>
    </w:p>
    <w:p w:rsidR="00574989" w:rsidRPr="0086149C" w:rsidRDefault="00C04BFE" w:rsidP="00004E07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研究生参与科研项目获得国家科技进步二等奖及以上，证书上有署名的学生计16分；获得省、部级科技进步二等奖及以上，证书上有署名的学生计8分。</w:t>
      </w:r>
    </w:p>
    <w:p w:rsidR="00574989" w:rsidRPr="0086149C" w:rsidRDefault="00C04BFE" w:rsidP="00004E07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研究生在读期间，以东南大学学生身份参加“挑战杯”全国大学生课外学术科技作品竞赛获得特等奖者计16分，获一等奖者计8分，获二等奖者5分，获三等奖者2分。</w:t>
      </w:r>
    </w:p>
    <w:p w:rsidR="00574989" w:rsidRPr="0086149C" w:rsidRDefault="00C04BFE" w:rsidP="00004E07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品行得分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操行等级分：</w:t>
      </w:r>
    </w:p>
    <w:p w:rsidR="00574989" w:rsidRPr="0086149C" w:rsidRDefault="00C04BFE" w:rsidP="00004E07">
      <w:pPr>
        <w:tabs>
          <w:tab w:val="left" w:pos="528"/>
        </w:tabs>
        <w:adjustRightInd w:val="0"/>
        <w:snapToGrid w:val="0"/>
        <w:ind w:leftChars="300" w:left="600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由学院按照研究生手册相关内容进行考核，综合评价分甲、乙、丙三个等级，分数分别按照5分、4分、3分。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lastRenderedPageBreak/>
        <w:t>团体活动分：</w:t>
      </w:r>
    </w:p>
    <w:p w:rsidR="00574989" w:rsidRPr="0086149C" w:rsidRDefault="00C04BFE" w:rsidP="00004E07">
      <w:pPr>
        <w:pStyle w:val="1"/>
        <w:adjustRightInd w:val="0"/>
        <w:snapToGrid w:val="0"/>
        <w:ind w:left="595" w:firstLineChars="0" w:firstLine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依据申报者组织或参与团体活动情况，由所在班级学生干部民主评定，结合学院考察得出分数，最低分为0分，最高分为8分。</w:t>
      </w:r>
    </w:p>
    <w:p w:rsidR="00574989" w:rsidRPr="0086149C" w:rsidRDefault="00C04BFE" w:rsidP="00004E07">
      <w:pPr>
        <w:adjustRightInd w:val="0"/>
        <w:snapToGrid w:val="0"/>
        <w:spacing w:afterLines="50" w:after="156"/>
        <w:ind w:firstLineChars="100" w:firstLine="280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4、总分算法</w:t>
      </w:r>
    </w:p>
    <w:p w:rsidR="00574989" w:rsidRPr="0086149C" w:rsidRDefault="00C04BFE" w:rsidP="00004E07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 w:rsidRPr="0086149C">
        <w:rPr>
          <w:rFonts w:ascii="仿宋_GB2312" w:eastAsia="仿宋_GB2312" w:hAnsi="宋体" w:hint="eastAsia"/>
          <w:sz w:val="28"/>
        </w:rPr>
        <w:t>Ⅰ、</w:t>
      </w:r>
      <w:r w:rsidRPr="0086149C">
        <w:rPr>
          <w:rFonts w:ascii="仿宋_GB2312" w:eastAsia="仿宋_GB2312" w:hint="eastAsia"/>
          <w:sz w:val="28"/>
        </w:rPr>
        <w:t>二年级硕士研究生综合得分=规格化成绩+科研得分+品行得分</w:t>
      </w:r>
    </w:p>
    <w:p w:rsidR="00574989" w:rsidRPr="0086149C" w:rsidRDefault="00C04BFE" w:rsidP="00004E07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 w:rsidRPr="0086149C">
        <w:rPr>
          <w:rFonts w:ascii="仿宋_GB2312" w:eastAsia="仿宋_GB2312" w:hAnsi="宋体" w:hint="eastAsia"/>
          <w:sz w:val="28"/>
        </w:rPr>
        <w:t>Ⅱ、</w:t>
      </w:r>
      <w:r w:rsidRPr="0086149C">
        <w:rPr>
          <w:rFonts w:ascii="仿宋_GB2312" w:eastAsia="仿宋_GB2312" w:hint="eastAsia"/>
          <w:sz w:val="28"/>
        </w:rPr>
        <w:t>三年级硕士研究生综合得分=科研得分+品行得分</w:t>
      </w:r>
    </w:p>
    <w:p w:rsidR="00574989" w:rsidRPr="0086149C" w:rsidRDefault="00C04BFE" w:rsidP="00004E07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 w:rsidRPr="0086149C">
        <w:rPr>
          <w:rFonts w:ascii="仿宋_GB2312" w:eastAsia="仿宋_GB2312" w:hAnsi="宋体" w:hint="eastAsia"/>
          <w:sz w:val="28"/>
        </w:rPr>
        <w:t>Ⅲ、</w:t>
      </w:r>
      <w:r w:rsidRPr="0086149C">
        <w:rPr>
          <w:rFonts w:ascii="仿宋_GB2312" w:eastAsia="仿宋_GB2312" w:hint="eastAsia"/>
          <w:sz w:val="28"/>
        </w:rPr>
        <w:t>博士研究生综合得分=规格化成绩×30%+ 科研得分×60%+品行得分×10%</w:t>
      </w:r>
    </w:p>
    <w:p w:rsidR="00574989" w:rsidRPr="00211D69" w:rsidRDefault="00C04BFE" w:rsidP="00211D69">
      <w:pPr>
        <w:adjustRightInd w:val="0"/>
        <w:snapToGrid w:val="0"/>
        <w:ind w:firstLineChars="100" w:firstLine="280"/>
        <w:rPr>
          <w:rFonts w:ascii="仿宋_GB2312" w:eastAsia="仿宋_GB2312" w:hAnsi="宋体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>5、对有特殊要求的奖学金，由学院根据实际情况评定</w:t>
      </w:r>
      <w:r w:rsidR="00004E07" w:rsidRPr="00211D69">
        <w:rPr>
          <w:rFonts w:ascii="仿宋_GB2312" w:eastAsia="仿宋_GB2312" w:hAnsi="宋体" w:hint="eastAsia"/>
          <w:sz w:val="28"/>
        </w:rPr>
        <w:t>。</w:t>
      </w:r>
    </w:p>
    <w:p w:rsidR="00004E07" w:rsidRDefault="00C04BFE" w:rsidP="00211D69">
      <w:pPr>
        <w:adjustRightInd w:val="0"/>
        <w:snapToGrid w:val="0"/>
        <w:ind w:firstLineChars="250" w:firstLine="700"/>
        <w:rPr>
          <w:rFonts w:ascii="仿宋_GB2312" w:eastAsia="仿宋_GB2312" w:hAnsi="宋体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>本办法的最终解释权归东南大学材料科学与工程学院</w:t>
      </w:r>
      <w:r w:rsidR="00004E07" w:rsidRPr="00211D69">
        <w:rPr>
          <w:rFonts w:ascii="仿宋_GB2312" w:eastAsia="仿宋_GB2312" w:hAnsi="宋体" w:hint="eastAsia"/>
          <w:sz w:val="28"/>
        </w:rPr>
        <w:t>。</w:t>
      </w:r>
    </w:p>
    <w:p w:rsidR="00211D69" w:rsidRPr="00211D69" w:rsidRDefault="00211D69" w:rsidP="00211D69">
      <w:pPr>
        <w:adjustRightInd w:val="0"/>
        <w:snapToGrid w:val="0"/>
        <w:ind w:firstLineChars="250" w:firstLine="700"/>
        <w:rPr>
          <w:rFonts w:ascii="仿宋_GB2312" w:eastAsia="仿宋_GB2312" w:hAnsi="宋体"/>
          <w:sz w:val="28"/>
        </w:rPr>
      </w:pPr>
    </w:p>
    <w:p w:rsidR="00574989" w:rsidRPr="00211D69" w:rsidRDefault="00004E07" w:rsidP="00211D69">
      <w:pPr>
        <w:adjustRightInd w:val="0"/>
        <w:snapToGrid w:val="0"/>
        <w:ind w:firstLineChars="100" w:firstLine="280"/>
        <w:jc w:val="right"/>
        <w:rPr>
          <w:rFonts w:ascii="仿宋_GB2312" w:eastAsia="仿宋_GB2312" w:hAnsi="宋体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>材料学院研究生工作办公室</w:t>
      </w:r>
    </w:p>
    <w:p w:rsidR="00574989" w:rsidRPr="00211D69" w:rsidRDefault="00C04BFE" w:rsidP="00211D69">
      <w:pPr>
        <w:adjustRightInd w:val="0"/>
        <w:snapToGrid w:val="0"/>
        <w:ind w:firstLineChars="100" w:firstLine="280"/>
        <w:jc w:val="right"/>
        <w:rPr>
          <w:rFonts w:ascii="仿宋_GB2312" w:eastAsia="仿宋_GB2312" w:hAnsi="宋体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 xml:space="preserve">                    </w:t>
      </w:r>
      <w:bookmarkStart w:id="0" w:name="_GoBack"/>
      <w:bookmarkEnd w:id="0"/>
      <w:r w:rsidRPr="00211D69">
        <w:rPr>
          <w:rFonts w:ascii="仿宋_GB2312" w:eastAsia="仿宋_GB2312" w:hAnsi="宋体" w:hint="eastAsia"/>
          <w:sz w:val="28"/>
        </w:rPr>
        <w:t xml:space="preserve">       201</w:t>
      </w:r>
      <w:r w:rsidR="00B11D34">
        <w:rPr>
          <w:rFonts w:ascii="仿宋_GB2312" w:eastAsia="仿宋_GB2312" w:hAnsi="宋体" w:hint="eastAsia"/>
          <w:sz w:val="28"/>
        </w:rPr>
        <w:t>8</w:t>
      </w:r>
      <w:r w:rsidRPr="00211D69">
        <w:rPr>
          <w:rFonts w:ascii="仿宋_GB2312" w:eastAsia="仿宋_GB2312" w:hAnsi="宋体" w:hint="eastAsia"/>
          <w:sz w:val="28"/>
        </w:rPr>
        <w:t>年</w:t>
      </w:r>
      <w:r w:rsidR="004A3945">
        <w:rPr>
          <w:rFonts w:ascii="仿宋_GB2312" w:eastAsia="仿宋_GB2312" w:hAnsi="宋体" w:hint="eastAsia"/>
          <w:sz w:val="28"/>
        </w:rPr>
        <w:t>4</w:t>
      </w:r>
      <w:r w:rsidRPr="00211D69">
        <w:rPr>
          <w:rFonts w:ascii="仿宋_GB2312" w:eastAsia="仿宋_GB2312" w:hAnsi="宋体" w:hint="eastAsia"/>
          <w:sz w:val="28"/>
        </w:rPr>
        <w:t>月</w:t>
      </w:r>
    </w:p>
    <w:sectPr w:rsidR="00574989" w:rsidRPr="00211D6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0B" w:rsidRDefault="0026040B">
      <w:r>
        <w:separator/>
      </w:r>
    </w:p>
  </w:endnote>
  <w:endnote w:type="continuationSeparator" w:id="0">
    <w:p w:rsidR="0026040B" w:rsidRDefault="0026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8975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4E07" w:rsidRDefault="00004E07" w:rsidP="00004E07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D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D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0B" w:rsidRDefault="0026040B">
      <w:r>
        <w:separator/>
      </w:r>
    </w:p>
  </w:footnote>
  <w:footnote w:type="continuationSeparator" w:id="0">
    <w:p w:rsidR="0026040B" w:rsidRDefault="0026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89" w:rsidRDefault="0057498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1B6"/>
    <w:multiLevelType w:val="multilevel"/>
    <w:tmpl w:val="024531B6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1">
    <w:nsid w:val="05B056E3"/>
    <w:multiLevelType w:val="multilevel"/>
    <w:tmpl w:val="05B056E3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2">
    <w:nsid w:val="13F270DB"/>
    <w:multiLevelType w:val="multilevel"/>
    <w:tmpl w:val="13F270DB"/>
    <w:lvl w:ilvl="0" w:tentative="1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left" w:pos="839"/>
        </w:tabs>
        <w:ind w:left="0" w:firstLine="840"/>
      </w:pPr>
      <w:rPr>
        <w:rFonts w:ascii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7F7B33"/>
    <w:multiLevelType w:val="multilevel"/>
    <w:tmpl w:val="567F7B33"/>
    <w:lvl w:ilvl="0">
      <w:start w:val="1"/>
      <w:numFmt w:val="decimal"/>
      <w:lvlText w:val="%1、"/>
      <w:lvlJc w:val="left"/>
      <w:pPr>
        <w:tabs>
          <w:tab w:val="left" w:pos="595"/>
        </w:tabs>
        <w:ind w:left="595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075"/>
        </w:tabs>
        <w:ind w:left="1075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495"/>
        </w:tabs>
        <w:ind w:left="1495" w:hanging="420"/>
      </w:pPr>
    </w:lvl>
    <w:lvl w:ilvl="3" w:tentative="1">
      <w:start w:val="1"/>
      <w:numFmt w:val="decimal"/>
      <w:lvlText w:val="%4."/>
      <w:lvlJc w:val="left"/>
      <w:pPr>
        <w:tabs>
          <w:tab w:val="left" w:pos="1915"/>
        </w:tabs>
        <w:ind w:left="1915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35"/>
        </w:tabs>
        <w:ind w:left="2335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755"/>
        </w:tabs>
        <w:ind w:left="2755" w:hanging="420"/>
      </w:pPr>
    </w:lvl>
    <w:lvl w:ilvl="6" w:tentative="1">
      <w:start w:val="1"/>
      <w:numFmt w:val="decimal"/>
      <w:lvlText w:val="%7."/>
      <w:lvlJc w:val="left"/>
      <w:pPr>
        <w:tabs>
          <w:tab w:val="left" w:pos="3175"/>
        </w:tabs>
        <w:ind w:left="3175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595"/>
        </w:tabs>
        <w:ind w:left="3595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15"/>
        </w:tabs>
        <w:ind w:left="4015" w:hanging="420"/>
      </w:pPr>
    </w:lvl>
  </w:abstractNum>
  <w:abstractNum w:abstractNumId="4">
    <w:nsid w:val="7AD6461E"/>
    <w:multiLevelType w:val="multilevel"/>
    <w:tmpl w:val="7AD6461E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2A0E"/>
    <w:rsid w:val="00004E07"/>
    <w:rsid w:val="00015B0C"/>
    <w:rsid w:val="00023975"/>
    <w:rsid w:val="00024B79"/>
    <w:rsid w:val="00027AF4"/>
    <w:rsid w:val="00032F95"/>
    <w:rsid w:val="000E36AC"/>
    <w:rsid w:val="0014689A"/>
    <w:rsid w:val="0015752E"/>
    <w:rsid w:val="00161583"/>
    <w:rsid w:val="00170025"/>
    <w:rsid w:val="001713F5"/>
    <w:rsid w:val="00184BCE"/>
    <w:rsid w:val="001D7D21"/>
    <w:rsid w:val="00211D69"/>
    <w:rsid w:val="002204F5"/>
    <w:rsid w:val="002225B0"/>
    <w:rsid w:val="00224F81"/>
    <w:rsid w:val="002373CD"/>
    <w:rsid w:val="00240868"/>
    <w:rsid w:val="00256B72"/>
    <w:rsid w:val="0026040B"/>
    <w:rsid w:val="00271217"/>
    <w:rsid w:val="002A7256"/>
    <w:rsid w:val="002B422A"/>
    <w:rsid w:val="00300CD7"/>
    <w:rsid w:val="00301FC4"/>
    <w:rsid w:val="00324E12"/>
    <w:rsid w:val="00346D23"/>
    <w:rsid w:val="00353B51"/>
    <w:rsid w:val="00381CE9"/>
    <w:rsid w:val="003C0A6B"/>
    <w:rsid w:val="003D34AB"/>
    <w:rsid w:val="003D77AE"/>
    <w:rsid w:val="004115A8"/>
    <w:rsid w:val="00421069"/>
    <w:rsid w:val="0042236D"/>
    <w:rsid w:val="00445DBA"/>
    <w:rsid w:val="00455E99"/>
    <w:rsid w:val="004709CB"/>
    <w:rsid w:val="00482C9C"/>
    <w:rsid w:val="004A3945"/>
    <w:rsid w:val="004A6C41"/>
    <w:rsid w:val="004B0D17"/>
    <w:rsid w:val="0052000B"/>
    <w:rsid w:val="005236DD"/>
    <w:rsid w:val="00525554"/>
    <w:rsid w:val="00530A83"/>
    <w:rsid w:val="00541889"/>
    <w:rsid w:val="00543345"/>
    <w:rsid w:val="0056408D"/>
    <w:rsid w:val="00574989"/>
    <w:rsid w:val="005A3C9C"/>
    <w:rsid w:val="005B07F2"/>
    <w:rsid w:val="005D16CD"/>
    <w:rsid w:val="005E0076"/>
    <w:rsid w:val="00606BE2"/>
    <w:rsid w:val="006104B4"/>
    <w:rsid w:val="006120FE"/>
    <w:rsid w:val="00625FE4"/>
    <w:rsid w:val="006436CD"/>
    <w:rsid w:val="00655142"/>
    <w:rsid w:val="00665135"/>
    <w:rsid w:val="006865E2"/>
    <w:rsid w:val="006D670B"/>
    <w:rsid w:val="0072796F"/>
    <w:rsid w:val="007406C7"/>
    <w:rsid w:val="00757ED1"/>
    <w:rsid w:val="00763014"/>
    <w:rsid w:val="00763477"/>
    <w:rsid w:val="00765EBC"/>
    <w:rsid w:val="0076683E"/>
    <w:rsid w:val="00790C71"/>
    <w:rsid w:val="007C149C"/>
    <w:rsid w:val="007D1F8C"/>
    <w:rsid w:val="007E68F3"/>
    <w:rsid w:val="00801819"/>
    <w:rsid w:val="00811D17"/>
    <w:rsid w:val="00816C52"/>
    <w:rsid w:val="00820DFF"/>
    <w:rsid w:val="00842095"/>
    <w:rsid w:val="00843064"/>
    <w:rsid w:val="00855701"/>
    <w:rsid w:val="0086149C"/>
    <w:rsid w:val="008634DD"/>
    <w:rsid w:val="008734D1"/>
    <w:rsid w:val="008905E4"/>
    <w:rsid w:val="008A3E64"/>
    <w:rsid w:val="008B2191"/>
    <w:rsid w:val="008B2EEC"/>
    <w:rsid w:val="008C043C"/>
    <w:rsid w:val="008E65AA"/>
    <w:rsid w:val="00900EC5"/>
    <w:rsid w:val="00901FB2"/>
    <w:rsid w:val="009264A0"/>
    <w:rsid w:val="009442BA"/>
    <w:rsid w:val="00945211"/>
    <w:rsid w:val="009D46DC"/>
    <w:rsid w:val="009D67E8"/>
    <w:rsid w:val="009F1212"/>
    <w:rsid w:val="00A21B62"/>
    <w:rsid w:val="00A260A4"/>
    <w:rsid w:val="00A506DB"/>
    <w:rsid w:val="00A63E1A"/>
    <w:rsid w:val="00A71952"/>
    <w:rsid w:val="00AC1B0B"/>
    <w:rsid w:val="00AE10B5"/>
    <w:rsid w:val="00B03BB9"/>
    <w:rsid w:val="00B11D34"/>
    <w:rsid w:val="00B32CB6"/>
    <w:rsid w:val="00B46493"/>
    <w:rsid w:val="00B6295B"/>
    <w:rsid w:val="00B92DC6"/>
    <w:rsid w:val="00BA0552"/>
    <w:rsid w:val="00BD0D6D"/>
    <w:rsid w:val="00BE4510"/>
    <w:rsid w:val="00BF1897"/>
    <w:rsid w:val="00C04BFE"/>
    <w:rsid w:val="00C54C79"/>
    <w:rsid w:val="00C606A8"/>
    <w:rsid w:val="00C807C8"/>
    <w:rsid w:val="00CC68CC"/>
    <w:rsid w:val="00CD5190"/>
    <w:rsid w:val="00CD5835"/>
    <w:rsid w:val="00CE1A9A"/>
    <w:rsid w:val="00CF76B1"/>
    <w:rsid w:val="00D350BB"/>
    <w:rsid w:val="00D362C9"/>
    <w:rsid w:val="00D72A0E"/>
    <w:rsid w:val="00D9166B"/>
    <w:rsid w:val="00D95DF0"/>
    <w:rsid w:val="00DB32A4"/>
    <w:rsid w:val="00DE17B1"/>
    <w:rsid w:val="00DE2B53"/>
    <w:rsid w:val="00DE487E"/>
    <w:rsid w:val="00E22B6B"/>
    <w:rsid w:val="00E37571"/>
    <w:rsid w:val="00E91501"/>
    <w:rsid w:val="00EA63B1"/>
    <w:rsid w:val="00EA6DF8"/>
    <w:rsid w:val="00EB53E8"/>
    <w:rsid w:val="00EF2A3C"/>
    <w:rsid w:val="00F11570"/>
    <w:rsid w:val="00F226D5"/>
    <w:rsid w:val="00F32215"/>
    <w:rsid w:val="00F42F27"/>
    <w:rsid w:val="00F60528"/>
    <w:rsid w:val="00F667DC"/>
    <w:rsid w:val="00F7252A"/>
    <w:rsid w:val="00FA4F35"/>
    <w:rsid w:val="00FD3DA0"/>
    <w:rsid w:val="00FE047E"/>
    <w:rsid w:val="1D080BD2"/>
    <w:rsid w:val="3E61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255</Words>
  <Characters>1456</Characters>
  <Application>Microsoft Office Word</Application>
  <DocSecurity>0</DocSecurity>
  <Lines>12</Lines>
  <Paragraphs>3</Paragraphs>
  <ScaleCrop>false</ScaleCrop>
  <Company>微软中国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东南大学材料科学与工程学院</dc:title>
  <dc:creator>微软用户</dc:creator>
  <cp:lastModifiedBy>JonMMx 2000</cp:lastModifiedBy>
  <cp:revision>23</cp:revision>
  <cp:lastPrinted>2010-10-22T08:06:00Z</cp:lastPrinted>
  <dcterms:created xsi:type="dcterms:W3CDTF">2014-09-30T10:57:00Z</dcterms:created>
  <dcterms:modified xsi:type="dcterms:W3CDTF">2018-04-09T02:25:00Z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