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B63" w:rsidRDefault="00166E0C">
      <w:pPr>
        <w:jc w:val="center"/>
        <w:rPr>
          <w:rFonts w:ascii="华文中宋" w:eastAsia="华文中宋" w:hAnsi="华文中宋"/>
          <w:sz w:val="36"/>
          <w:szCs w:val="36"/>
        </w:rPr>
      </w:pPr>
      <w:r w:rsidRPr="00E81D4E">
        <w:rPr>
          <w:rFonts w:ascii="华文中宋" w:eastAsia="华文中宋" w:hAnsi="华文中宋" w:hint="eastAsia"/>
          <w:sz w:val="36"/>
          <w:szCs w:val="36"/>
        </w:rPr>
        <w:t>材料科学与工程学院研究生</w:t>
      </w:r>
      <w:r w:rsidR="00B37B63">
        <w:rPr>
          <w:rFonts w:ascii="华文中宋" w:eastAsia="华文中宋" w:hAnsi="华文中宋" w:hint="eastAsia"/>
          <w:sz w:val="36"/>
          <w:szCs w:val="36"/>
        </w:rPr>
        <w:t>校友</w:t>
      </w:r>
      <w:r w:rsidRPr="00E81D4E">
        <w:rPr>
          <w:rFonts w:ascii="华文中宋" w:eastAsia="华文中宋" w:hAnsi="华文中宋" w:hint="eastAsia"/>
          <w:sz w:val="36"/>
          <w:szCs w:val="36"/>
        </w:rPr>
        <w:t>奖学金</w:t>
      </w:r>
    </w:p>
    <w:p w:rsidR="00E97735" w:rsidRPr="00E81D4E" w:rsidRDefault="00166E0C">
      <w:pPr>
        <w:jc w:val="center"/>
        <w:rPr>
          <w:rFonts w:ascii="华文中宋" w:eastAsia="华文中宋" w:hAnsi="华文中宋"/>
          <w:sz w:val="36"/>
          <w:szCs w:val="36"/>
        </w:rPr>
      </w:pPr>
      <w:r w:rsidRPr="00E81D4E">
        <w:rPr>
          <w:rFonts w:ascii="华文中宋" w:eastAsia="华文中宋" w:hAnsi="华文中宋" w:hint="eastAsia"/>
          <w:sz w:val="36"/>
          <w:szCs w:val="36"/>
        </w:rPr>
        <w:t>评比办法（</w:t>
      </w:r>
      <w:r w:rsidR="00B37B63">
        <w:rPr>
          <w:rFonts w:ascii="华文中宋" w:eastAsia="华文中宋" w:hAnsi="华文中宋" w:hint="eastAsia"/>
          <w:sz w:val="36"/>
          <w:szCs w:val="36"/>
        </w:rPr>
        <w:t>2020.0</w:t>
      </w:r>
      <w:r w:rsidR="00B3327B">
        <w:rPr>
          <w:rFonts w:ascii="华文中宋" w:eastAsia="华文中宋" w:hAnsi="华文中宋"/>
          <w:sz w:val="36"/>
          <w:szCs w:val="36"/>
        </w:rPr>
        <w:t>9</w:t>
      </w:r>
      <w:r w:rsidRPr="00E81D4E">
        <w:rPr>
          <w:rFonts w:ascii="华文中宋" w:eastAsia="华文中宋" w:hAnsi="华文中宋" w:hint="eastAsia"/>
          <w:sz w:val="36"/>
          <w:szCs w:val="36"/>
        </w:rPr>
        <w:t>修订）</w:t>
      </w:r>
    </w:p>
    <w:p w:rsidR="00E97735" w:rsidRDefault="00166E0C" w:rsidP="005618BF">
      <w:pPr>
        <w:adjustRightInd w:val="0"/>
        <w:snapToGrid w:val="0"/>
        <w:spacing w:beforeLines="50" w:before="156" w:line="288" w:lineRule="auto"/>
        <w:ind w:firstLineChars="200" w:firstLine="560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根据东南大学研究生手册有关文件规定，按照“培养和造就高层次、高质量社会主义建设者和接班人”的基本要求，制定以下办法作为我院研究生奖学金评比的主要依据。</w:t>
      </w:r>
    </w:p>
    <w:p w:rsidR="00E97735" w:rsidRDefault="00166E0C" w:rsidP="005618BF">
      <w:pPr>
        <w:adjustRightInd w:val="0"/>
        <w:snapToGrid w:val="0"/>
        <w:spacing w:beforeLines="50" w:before="156" w:line="288" w:lineRule="auto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32"/>
        </w:rPr>
        <w:t>一、基本条件</w:t>
      </w:r>
    </w:p>
    <w:p w:rsidR="00E97735" w:rsidRDefault="00166E0C" w:rsidP="005618BF">
      <w:pPr>
        <w:numPr>
          <w:ilvl w:val="0"/>
          <w:numId w:val="1"/>
        </w:numPr>
        <w:adjustRightInd w:val="0"/>
        <w:snapToGrid w:val="0"/>
        <w:spacing w:line="288" w:lineRule="auto"/>
        <w:ind w:left="589" w:hanging="357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在籍在册全日制的研究生（定向、委培研究生除外）本人提出       申请，参评硕士研究生在读时间不得超过3年，参评博士研究生在读时间不得超学制（博士不超过4年，硕博连读生、</w:t>
      </w:r>
      <w:proofErr w:type="gramStart"/>
      <w:r>
        <w:rPr>
          <w:rFonts w:ascii="仿宋_GB2312" w:eastAsia="仿宋_GB2312" w:hint="eastAsia"/>
          <w:sz w:val="28"/>
        </w:rPr>
        <w:t>直博生</w:t>
      </w:r>
      <w:proofErr w:type="gramEnd"/>
      <w:r>
        <w:rPr>
          <w:rFonts w:ascii="仿宋_GB2312" w:eastAsia="仿宋_GB2312" w:hint="eastAsia"/>
          <w:sz w:val="28"/>
        </w:rPr>
        <w:t>不得超过5年，优</w:t>
      </w:r>
      <w:r>
        <w:rPr>
          <w:rFonts w:ascii="仿宋_GB2312" w:eastAsia="仿宋_GB2312" w:hAnsi="宋体" w:hint="eastAsia"/>
          <w:sz w:val="28"/>
          <w:szCs w:val="24"/>
        </w:rPr>
        <w:t>秀博士学位论文培育对象不受此限）；</w:t>
      </w:r>
    </w:p>
    <w:p w:rsidR="00E97735" w:rsidRDefault="00166E0C" w:rsidP="005618BF">
      <w:pPr>
        <w:numPr>
          <w:ilvl w:val="0"/>
          <w:numId w:val="1"/>
        </w:numPr>
        <w:adjustRightInd w:val="0"/>
        <w:snapToGrid w:val="0"/>
        <w:spacing w:line="288" w:lineRule="auto"/>
        <w:ind w:left="589" w:hanging="357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原则上在学制内的博士生二年级以上（含二年级）和硕士二、三年级同学中评比，已取得攻读博士资格的同学在同等情况下优先考虑；</w:t>
      </w:r>
    </w:p>
    <w:p w:rsidR="00E97735" w:rsidRDefault="00166E0C" w:rsidP="005618BF">
      <w:pPr>
        <w:numPr>
          <w:ilvl w:val="0"/>
          <w:numId w:val="1"/>
        </w:numPr>
        <w:adjustRightInd w:val="0"/>
        <w:snapToGrid w:val="0"/>
        <w:spacing w:line="288" w:lineRule="auto"/>
        <w:ind w:left="589" w:hanging="357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受校纪处分者，从被查出之日起一年内不得参加奖学金评比；</w:t>
      </w:r>
    </w:p>
    <w:p w:rsidR="00E97735" w:rsidRDefault="00166E0C" w:rsidP="005618BF">
      <w:pPr>
        <w:numPr>
          <w:ilvl w:val="0"/>
          <w:numId w:val="1"/>
        </w:numPr>
        <w:adjustRightInd w:val="0"/>
        <w:snapToGrid w:val="0"/>
        <w:spacing w:line="288" w:lineRule="auto"/>
        <w:ind w:left="589" w:hanging="357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申请者须修满本专业培养方案所规定的学分，无不及格科目；</w:t>
      </w:r>
    </w:p>
    <w:p w:rsidR="00E97735" w:rsidRDefault="00166E0C" w:rsidP="005618BF">
      <w:pPr>
        <w:numPr>
          <w:ilvl w:val="0"/>
          <w:numId w:val="1"/>
        </w:numPr>
        <w:adjustRightInd w:val="0"/>
        <w:snapToGrid w:val="0"/>
        <w:spacing w:line="288" w:lineRule="auto"/>
        <w:ind w:left="589" w:hanging="357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原则上每位研究生在</w:t>
      </w:r>
      <w:proofErr w:type="gramStart"/>
      <w:r>
        <w:rPr>
          <w:rFonts w:ascii="仿宋_GB2312" w:eastAsia="仿宋_GB2312" w:hint="eastAsia"/>
          <w:sz w:val="28"/>
        </w:rPr>
        <w:t>一</w:t>
      </w:r>
      <w:proofErr w:type="gramEnd"/>
      <w:r>
        <w:rPr>
          <w:rFonts w:ascii="仿宋_GB2312" w:eastAsia="仿宋_GB2312" w:hint="eastAsia"/>
          <w:sz w:val="28"/>
        </w:rPr>
        <w:t>学年内只能获得一次奖学金；</w:t>
      </w:r>
    </w:p>
    <w:p w:rsidR="00E97735" w:rsidRPr="00106C9A" w:rsidRDefault="00166E0C" w:rsidP="005618BF">
      <w:pPr>
        <w:numPr>
          <w:ilvl w:val="0"/>
          <w:numId w:val="1"/>
        </w:numPr>
        <w:adjustRightInd w:val="0"/>
        <w:snapToGrid w:val="0"/>
        <w:spacing w:line="288" w:lineRule="auto"/>
        <w:ind w:left="589" w:hanging="357"/>
        <w:jc w:val="both"/>
        <w:rPr>
          <w:rFonts w:ascii="仿宋_GB2312" w:eastAsia="仿宋_GB2312"/>
          <w:sz w:val="28"/>
        </w:rPr>
      </w:pPr>
      <w:r w:rsidRPr="00106C9A">
        <w:rPr>
          <w:rFonts w:ascii="仿宋_GB2312" w:eastAsia="仿宋_GB2312" w:hint="eastAsia"/>
          <w:sz w:val="28"/>
        </w:rPr>
        <w:t>获得研究生国家奖学金的同学不可再申报其他</w:t>
      </w:r>
      <w:r w:rsidR="00817751" w:rsidRPr="00106C9A">
        <w:rPr>
          <w:rFonts w:ascii="仿宋_GB2312" w:eastAsia="仿宋_GB2312" w:hint="eastAsia"/>
          <w:sz w:val="28"/>
        </w:rPr>
        <w:t>校友</w:t>
      </w:r>
      <w:r w:rsidRPr="00106C9A">
        <w:rPr>
          <w:rFonts w:ascii="仿宋_GB2312" w:eastAsia="仿宋_GB2312" w:hint="eastAsia"/>
          <w:sz w:val="28"/>
        </w:rPr>
        <w:t>奖学金；</w:t>
      </w:r>
    </w:p>
    <w:p w:rsidR="00E97735" w:rsidRPr="00106C9A" w:rsidRDefault="00166E0C" w:rsidP="005618BF">
      <w:pPr>
        <w:numPr>
          <w:ilvl w:val="0"/>
          <w:numId w:val="1"/>
        </w:numPr>
        <w:adjustRightInd w:val="0"/>
        <w:snapToGrid w:val="0"/>
        <w:spacing w:line="288" w:lineRule="auto"/>
        <w:ind w:left="589" w:hanging="357"/>
        <w:jc w:val="both"/>
        <w:rPr>
          <w:rFonts w:ascii="仿宋_GB2312" w:eastAsia="仿宋_GB2312"/>
          <w:sz w:val="28"/>
        </w:rPr>
      </w:pPr>
      <w:r w:rsidRPr="00106C9A">
        <w:rPr>
          <w:rFonts w:ascii="仿宋_GB2312" w:eastAsia="仿宋_GB2312" w:hint="eastAsia"/>
          <w:sz w:val="28"/>
        </w:rPr>
        <w:t>再次参与评奖的研究生只能提交前次获奖时间后的文章和科研成果；</w:t>
      </w:r>
    </w:p>
    <w:p w:rsidR="00E97735" w:rsidRPr="00106C9A" w:rsidRDefault="00166E0C" w:rsidP="005618BF">
      <w:pPr>
        <w:numPr>
          <w:ilvl w:val="0"/>
          <w:numId w:val="1"/>
        </w:numPr>
        <w:adjustRightInd w:val="0"/>
        <w:snapToGrid w:val="0"/>
        <w:spacing w:line="288" w:lineRule="auto"/>
        <w:ind w:left="589" w:hanging="357"/>
        <w:jc w:val="both"/>
        <w:rPr>
          <w:rFonts w:ascii="仿宋_GB2312" w:eastAsia="仿宋_GB2312"/>
          <w:sz w:val="28"/>
        </w:rPr>
      </w:pPr>
      <w:r w:rsidRPr="00106C9A">
        <w:rPr>
          <w:rFonts w:ascii="仿宋_GB2312" w:eastAsia="仿宋_GB2312" w:hint="eastAsia"/>
          <w:sz w:val="28"/>
        </w:rPr>
        <w:t>申请研究生的所有文章和科研成果必须第一署名单位是东南大学；</w:t>
      </w:r>
    </w:p>
    <w:p w:rsidR="00874088" w:rsidRPr="00106C9A" w:rsidRDefault="00874088" w:rsidP="005618BF">
      <w:pPr>
        <w:numPr>
          <w:ilvl w:val="0"/>
          <w:numId w:val="1"/>
        </w:numPr>
        <w:adjustRightInd w:val="0"/>
        <w:snapToGrid w:val="0"/>
        <w:spacing w:line="288" w:lineRule="auto"/>
        <w:ind w:left="589" w:hanging="357"/>
        <w:jc w:val="both"/>
        <w:rPr>
          <w:rFonts w:ascii="仿宋_GB2312" w:eastAsia="仿宋_GB2312"/>
          <w:sz w:val="28"/>
        </w:rPr>
      </w:pPr>
      <w:r w:rsidRPr="00106C9A">
        <w:rPr>
          <w:rFonts w:ascii="仿宋_GB2312" w:eastAsia="仿宋_GB2312" w:hint="eastAsia"/>
          <w:sz w:val="28"/>
        </w:rPr>
        <w:t>定向奖学金参照该奖学金评审要求执行。</w:t>
      </w:r>
    </w:p>
    <w:p w:rsidR="00E97735" w:rsidRPr="00106C9A" w:rsidRDefault="00166E0C" w:rsidP="005618BF">
      <w:pPr>
        <w:adjustRightInd w:val="0"/>
        <w:snapToGrid w:val="0"/>
        <w:spacing w:beforeLines="50" w:before="156" w:line="288" w:lineRule="auto"/>
        <w:jc w:val="both"/>
        <w:rPr>
          <w:rFonts w:ascii="仿宋_GB2312" w:eastAsia="仿宋_GB2312"/>
          <w:sz w:val="32"/>
        </w:rPr>
      </w:pPr>
      <w:r w:rsidRPr="00106C9A">
        <w:rPr>
          <w:rFonts w:ascii="仿宋_GB2312" w:eastAsia="仿宋_GB2312" w:hint="eastAsia"/>
          <w:sz w:val="32"/>
        </w:rPr>
        <w:t>二、评比方法</w:t>
      </w:r>
    </w:p>
    <w:p w:rsidR="00E97735" w:rsidRDefault="00166E0C" w:rsidP="005618BF">
      <w:pPr>
        <w:adjustRightInd w:val="0"/>
        <w:snapToGrid w:val="0"/>
        <w:spacing w:line="288" w:lineRule="auto"/>
        <w:ind w:firstLineChars="200" w:firstLine="560"/>
        <w:jc w:val="both"/>
        <w:rPr>
          <w:rFonts w:ascii="仿宋_GB2312" w:eastAsia="仿宋_GB2312"/>
          <w:sz w:val="28"/>
          <w:szCs w:val="24"/>
        </w:rPr>
      </w:pPr>
      <w:r w:rsidRPr="00106C9A">
        <w:rPr>
          <w:rFonts w:ascii="仿宋_GB2312" w:eastAsia="仿宋_GB2312" w:hint="eastAsia"/>
          <w:sz w:val="28"/>
          <w:szCs w:val="24"/>
        </w:rPr>
        <w:t>由学院评审委员会对申请者</w:t>
      </w:r>
      <w:r w:rsidR="0048114C" w:rsidRPr="00106C9A">
        <w:rPr>
          <w:rFonts w:ascii="仿宋_GB2312" w:eastAsia="仿宋_GB2312" w:hint="eastAsia"/>
          <w:sz w:val="28"/>
          <w:szCs w:val="24"/>
        </w:rPr>
        <w:t>的</w:t>
      </w:r>
      <w:r w:rsidRPr="00106C9A">
        <w:rPr>
          <w:rFonts w:ascii="仿宋_GB2312" w:eastAsia="仿宋_GB2312" w:hint="eastAsia"/>
          <w:sz w:val="28"/>
          <w:szCs w:val="24"/>
        </w:rPr>
        <w:t>学习成绩、科研情况、品行得分（操行等级、团体活动）三部分</w:t>
      </w:r>
      <w:r w:rsidR="0048114C" w:rsidRPr="00106C9A">
        <w:rPr>
          <w:rFonts w:ascii="仿宋_GB2312" w:eastAsia="仿宋_GB2312" w:hint="eastAsia"/>
          <w:sz w:val="28"/>
          <w:szCs w:val="24"/>
        </w:rPr>
        <w:t>的综合得分进行评审评议</w:t>
      </w:r>
      <w:r w:rsidRPr="00106C9A">
        <w:rPr>
          <w:rFonts w:ascii="仿宋_GB2312" w:eastAsia="仿宋_GB2312" w:hint="eastAsia"/>
          <w:sz w:val="28"/>
          <w:szCs w:val="24"/>
        </w:rPr>
        <w:t>，按综合得分</w:t>
      </w:r>
      <w:r>
        <w:rPr>
          <w:rFonts w:ascii="仿宋_GB2312" w:eastAsia="仿宋_GB2312" w:hint="eastAsia"/>
          <w:sz w:val="28"/>
          <w:szCs w:val="24"/>
        </w:rPr>
        <w:t>高低排序进行评比，博士生跨年级排序评比，硕士生按年级排序评比。</w:t>
      </w:r>
      <w:r w:rsidR="00032C21" w:rsidRPr="004A081C">
        <w:rPr>
          <w:rFonts w:ascii="仿宋_GB2312" w:eastAsia="仿宋_GB2312" w:hint="eastAsia"/>
          <w:sz w:val="28"/>
          <w:szCs w:val="24"/>
          <w:highlight w:val="yellow"/>
        </w:rPr>
        <w:t>本次评审科研成果的认定时间截至2020年</w:t>
      </w:r>
      <w:r w:rsidR="00F12690">
        <w:rPr>
          <w:rFonts w:ascii="仿宋_GB2312" w:eastAsia="仿宋_GB2312"/>
          <w:sz w:val="28"/>
          <w:szCs w:val="24"/>
          <w:highlight w:val="yellow"/>
        </w:rPr>
        <w:t>9</w:t>
      </w:r>
      <w:r w:rsidR="00032C21" w:rsidRPr="004A081C">
        <w:rPr>
          <w:rFonts w:ascii="仿宋_GB2312" w:eastAsia="仿宋_GB2312" w:hint="eastAsia"/>
          <w:sz w:val="28"/>
          <w:szCs w:val="24"/>
          <w:highlight w:val="yellow"/>
        </w:rPr>
        <w:t>月30日。</w:t>
      </w:r>
    </w:p>
    <w:p w:rsidR="00E97735" w:rsidRDefault="00166E0C" w:rsidP="005618BF">
      <w:pPr>
        <w:numPr>
          <w:ilvl w:val="1"/>
          <w:numId w:val="2"/>
        </w:numPr>
        <w:adjustRightInd w:val="0"/>
        <w:snapToGrid w:val="0"/>
        <w:spacing w:line="288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学习成绩：</w:t>
      </w:r>
    </w:p>
    <w:p w:rsidR="00E97735" w:rsidRDefault="00166E0C" w:rsidP="005618BF">
      <w:pPr>
        <w:adjustRightInd w:val="0"/>
        <w:snapToGrid w:val="0"/>
        <w:spacing w:line="288" w:lineRule="auto"/>
        <w:ind w:leftChars="240" w:left="480" w:firstLineChars="150" w:firstLine="42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以规格化成绩为准。</w:t>
      </w:r>
    </w:p>
    <w:p w:rsidR="00E97735" w:rsidRDefault="00166E0C" w:rsidP="005618BF">
      <w:pPr>
        <w:numPr>
          <w:ilvl w:val="1"/>
          <w:numId w:val="2"/>
        </w:numPr>
        <w:adjustRightInd w:val="0"/>
        <w:snapToGrid w:val="0"/>
        <w:spacing w:line="288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lastRenderedPageBreak/>
        <w:t>科研得分：</w:t>
      </w:r>
    </w:p>
    <w:p w:rsidR="00E97735" w:rsidRDefault="00166E0C" w:rsidP="005618BF">
      <w:pPr>
        <w:numPr>
          <w:ilvl w:val="2"/>
          <w:numId w:val="2"/>
        </w:numPr>
        <w:adjustRightInd w:val="0"/>
        <w:snapToGrid w:val="0"/>
        <w:spacing w:line="288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 xml:space="preserve">发表论文： </w:t>
      </w:r>
    </w:p>
    <w:p w:rsidR="00E97735" w:rsidRDefault="00166E0C" w:rsidP="005618BF">
      <w:pPr>
        <w:numPr>
          <w:ilvl w:val="0"/>
          <w:numId w:val="3"/>
        </w:numPr>
        <w:adjustRightInd w:val="0"/>
        <w:snapToGrid w:val="0"/>
        <w:spacing w:line="288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除《Science》《Nature》上申请者署名单位为东南大学外，申请者的</w:t>
      </w:r>
      <w:r w:rsidR="00477BE4">
        <w:rPr>
          <w:rFonts w:ascii="仿宋_GB2312" w:eastAsia="仿宋_GB2312" w:hint="eastAsia"/>
          <w:sz w:val="28"/>
          <w:szCs w:val="24"/>
        </w:rPr>
        <w:t>其他</w:t>
      </w:r>
      <w:r>
        <w:rPr>
          <w:rFonts w:ascii="仿宋_GB2312" w:eastAsia="仿宋_GB2312" w:hint="eastAsia"/>
          <w:sz w:val="28"/>
          <w:szCs w:val="24"/>
        </w:rPr>
        <w:t>所有论文第一署名单位</w:t>
      </w:r>
      <w:r w:rsidR="00036F5F">
        <w:rPr>
          <w:rFonts w:ascii="仿宋_GB2312" w:eastAsia="仿宋_GB2312" w:hint="eastAsia"/>
          <w:sz w:val="28"/>
          <w:szCs w:val="24"/>
        </w:rPr>
        <w:t>必须</w:t>
      </w:r>
      <w:r>
        <w:rPr>
          <w:rFonts w:ascii="仿宋_GB2312" w:eastAsia="仿宋_GB2312" w:hint="eastAsia"/>
          <w:sz w:val="28"/>
          <w:szCs w:val="24"/>
        </w:rPr>
        <w:t>为东南大学。</w:t>
      </w:r>
    </w:p>
    <w:p w:rsidR="00E97735" w:rsidRPr="00F12690" w:rsidRDefault="00166E0C" w:rsidP="005618BF">
      <w:pPr>
        <w:numPr>
          <w:ilvl w:val="0"/>
          <w:numId w:val="3"/>
        </w:numPr>
        <w:adjustRightInd w:val="0"/>
        <w:snapToGrid w:val="0"/>
        <w:spacing w:line="288" w:lineRule="auto"/>
        <w:jc w:val="both"/>
        <w:rPr>
          <w:rFonts w:ascii="仿宋_GB2312" w:eastAsia="仿宋_GB2312"/>
          <w:sz w:val="28"/>
          <w:szCs w:val="24"/>
        </w:rPr>
      </w:pPr>
      <w:r w:rsidRPr="00F12690">
        <w:rPr>
          <w:rFonts w:ascii="仿宋_GB2312" w:eastAsia="仿宋_GB2312" w:hint="eastAsia"/>
          <w:sz w:val="28"/>
          <w:szCs w:val="24"/>
        </w:rPr>
        <w:t>论文署名为第一作者，</w:t>
      </w:r>
      <w:r w:rsidR="00B54477" w:rsidRPr="00F12690">
        <w:rPr>
          <w:rFonts w:ascii="仿宋_GB2312" w:eastAsia="仿宋_GB2312" w:hint="eastAsia"/>
          <w:sz w:val="28"/>
          <w:szCs w:val="24"/>
        </w:rPr>
        <w:t>SCI论文online即可加分，按期刊JCR分区（取期刊最高分区）计分，计分标准为：JCR分区一区计20分，二区计15分，三区计10分，四区计5分；SCI论文影响因子大于16计40分；EI论文online计5分；其他的国内核心刊物和一般国际学术刊物计2分。</w:t>
      </w:r>
    </w:p>
    <w:p w:rsidR="00E97735" w:rsidRPr="00446936" w:rsidRDefault="00166E0C" w:rsidP="005618BF">
      <w:pPr>
        <w:numPr>
          <w:ilvl w:val="0"/>
          <w:numId w:val="3"/>
        </w:numPr>
        <w:adjustRightInd w:val="0"/>
        <w:snapToGrid w:val="0"/>
        <w:spacing w:line="288" w:lineRule="auto"/>
        <w:jc w:val="both"/>
        <w:rPr>
          <w:rFonts w:ascii="仿宋_GB2312" w:eastAsia="仿宋_GB2312"/>
          <w:sz w:val="28"/>
          <w:szCs w:val="24"/>
        </w:rPr>
      </w:pPr>
      <w:r w:rsidRPr="00446936">
        <w:rPr>
          <w:rFonts w:ascii="仿宋_GB2312" w:eastAsia="仿宋_GB2312" w:hint="eastAsia"/>
          <w:sz w:val="28"/>
          <w:szCs w:val="24"/>
        </w:rPr>
        <w:t>国际会议论文集正式出版的论文参照本条第（2）款规定计分。</w:t>
      </w:r>
    </w:p>
    <w:p w:rsidR="00E97735" w:rsidRPr="00446936" w:rsidRDefault="00166E0C" w:rsidP="005618BF">
      <w:pPr>
        <w:numPr>
          <w:ilvl w:val="0"/>
          <w:numId w:val="3"/>
        </w:numPr>
        <w:adjustRightInd w:val="0"/>
        <w:snapToGrid w:val="0"/>
        <w:spacing w:line="288" w:lineRule="auto"/>
        <w:jc w:val="both"/>
        <w:rPr>
          <w:rFonts w:ascii="仿宋_GB2312" w:eastAsia="仿宋_GB2312"/>
          <w:sz w:val="28"/>
          <w:szCs w:val="24"/>
        </w:rPr>
      </w:pPr>
      <w:r w:rsidRPr="00446936">
        <w:rPr>
          <w:rFonts w:ascii="仿宋_GB2312" w:eastAsia="仿宋_GB2312" w:hint="eastAsia"/>
          <w:sz w:val="28"/>
          <w:szCs w:val="24"/>
        </w:rPr>
        <w:t>除《Science》《Nature》外，博士生参评的论文必须署名为第一作者。</w:t>
      </w:r>
    </w:p>
    <w:p w:rsidR="00E97735" w:rsidRPr="00446936" w:rsidRDefault="004B54FB" w:rsidP="005618BF">
      <w:pPr>
        <w:numPr>
          <w:ilvl w:val="0"/>
          <w:numId w:val="3"/>
        </w:numPr>
        <w:adjustRightInd w:val="0"/>
        <w:snapToGrid w:val="0"/>
        <w:spacing w:line="288" w:lineRule="auto"/>
        <w:ind w:left="1435"/>
        <w:jc w:val="both"/>
        <w:rPr>
          <w:rFonts w:ascii="仿宋_GB2312" w:eastAsia="仿宋_GB2312"/>
          <w:sz w:val="28"/>
          <w:szCs w:val="24"/>
        </w:rPr>
      </w:pPr>
      <w:r w:rsidRPr="00446936">
        <w:rPr>
          <w:rFonts w:ascii="仿宋_GB2312" w:eastAsia="仿宋_GB2312" w:hint="eastAsia"/>
          <w:sz w:val="28"/>
          <w:szCs w:val="24"/>
        </w:rPr>
        <w:t>第一作者为指导老师（或协助指导老师），硕士生为第二作者的论文</w:t>
      </w:r>
      <w:r w:rsidR="00166E0C" w:rsidRPr="00446936">
        <w:rPr>
          <w:rFonts w:ascii="仿宋_GB2312" w:eastAsia="仿宋_GB2312" w:hint="eastAsia"/>
          <w:sz w:val="28"/>
          <w:szCs w:val="24"/>
        </w:rPr>
        <w:t>参照本条第（2）款规定减半计分。</w:t>
      </w:r>
    </w:p>
    <w:p w:rsidR="00E97735" w:rsidRPr="00446936" w:rsidRDefault="00166E0C" w:rsidP="005618BF">
      <w:pPr>
        <w:numPr>
          <w:ilvl w:val="0"/>
          <w:numId w:val="3"/>
        </w:numPr>
        <w:adjustRightInd w:val="0"/>
        <w:snapToGrid w:val="0"/>
        <w:spacing w:line="288" w:lineRule="auto"/>
        <w:ind w:left="1435"/>
        <w:rPr>
          <w:rFonts w:ascii="仿宋_GB2312" w:eastAsia="仿宋_GB2312"/>
          <w:sz w:val="28"/>
          <w:szCs w:val="24"/>
        </w:rPr>
      </w:pPr>
      <w:r w:rsidRPr="00446936">
        <w:rPr>
          <w:rFonts w:ascii="仿宋_GB2312" w:eastAsia="仿宋_GB2312" w:hint="eastAsia"/>
          <w:sz w:val="28"/>
          <w:szCs w:val="24"/>
        </w:rPr>
        <w:t>《Science》《Nature》上发表论文，</w:t>
      </w:r>
      <w:r w:rsidR="007A01F0" w:rsidRPr="00446936">
        <w:rPr>
          <w:rFonts w:ascii="仿宋_GB2312" w:eastAsia="仿宋_GB2312" w:hint="eastAsia"/>
          <w:sz w:val="28"/>
          <w:szCs w:val="24"/>
        </w:rPr>
        <w:t>论文申请者署名单位为东南大学</w:t>
      </w:r>
      <w:r w:rsidR="002C3504" w:rsidRPr="00446936">
        <w:rPr>
          <w:rFonts w:ascii="仿宋_GB2312" w:eastAsia="仿宋_GB2312" w:hint="eastAsia"/>
          <w:sz w:val="28"/>
          <w:szCs w:val="24"/>
        </w:rPr>
        <w:t>，</w:t>
      </w:r>
      <w:r w:rsidR="007A01F0" w:rsidRPr="00446936">
        <w:rPr>
          <w:rFonts w:ascii="仿宋_GB2312" w:eastAsia="仿宋_GB2312" w:hint="eastAsia"/>
          <w:sz w:val="28"/>
          <w:szCs w:val="24"/>
        </w:rPr>
        <w:t>第一作者直接给予所申请奖学金，第二作者记50分，第三作者记20分，</w:t>
      </w:r>
      <w:r w:rsidRPr="00446936">
        <w:rPr>
          <w:rFonts w:ascii="仿宋_GB2312" w:eastAsia="仿宋_GB2312" w:hint="eastAsia"/>
          <w:sz w:val="28"/>
          <w:szCs w:val="24"/>
        </w:rPr>
        <w:t>且有录用证明即可参评。</w:t>
      </w:r>
    </w:p>
    <w:p w:rsidR="00C62C83" w:rsidRPr="00446936" w:rsidRDefault="00C62C83" w:rsidP="005618BF">
      <w:pPr>
        <w:numPr>
          <w:ilvl w:val="0"/>
          <w:numId w:val="3"/>
        </w:numPr>
        <w:adjustRightInd w:val="0"/>
        <w:snapToGrid w:val="0"/>
        <w:spacing w:line="288" w:lineRule="auto"/>
        <w:ind w:left="1435"/>
        <w:jc w:val="both"/>
        <w:rPr>
          <w:rFonts w:ascii="仿宋_GB2312" w:eastAsia="仿宋_GB2312"/>
          <w:sz w:val="28"/>
          <w:szCs w:val="24"/>
        </w:rPr>
      </w:pPr>
      <w:r w:rsidRPr="00446936">
        <w:rPr>
          <w:rFonts w:ascii="仿宋_GB2312" w:eastAsia="仿宋_GB2312" w:hint="eastAsia"/>
          <w:sz w:val="28"/>
          <w:szCs w:val="24"/>
        </w:rPr>
        <w:t>硕士生共同</w:t>
      </w:r>
      <w:proofErr w:type="gramStart"/>
      <w:r w:rsidRPr="00446936">
        <w:rPr>
          <w:rFonts w:ascii="仿宋_GB2312" w:eastAsia="仿宋_GB2312" w:hint="eastAsia"/>
          <w:sz w:val="28"/>
          <w:szCs w:val="24"/>
        </w:rPr>
        <w:t>一</w:t>
      </w:r>
      <w:proofErr w:type="gramEnd"/>
      <w:r w:rsidRPr="00446936">
        <w:rPr>
          <w:rFonts w:ascii="仿宋_GB2312" w:eastAsia="仿宋_GB2312" w:hint="eastAsia"/>
          <w:sz w:val="28"/>
          <w:szCs w:val="24"/>
        </w:rPr>
        <w:t>作等同</w:t>
      </w:r>
      <w:proofErr w:type="gramStart"/>
      <w:r w:rsidRPr="00446936">
        <w:rPr>
          <w:rFonts w:ascii="仿宋_GB2312" w:eastAsia="仿宋_GB2312" w:hint="eastAsia"/>
          <w:sz w:val="28"/>
          <w:szCs w:val="24"/>
        </w:rPr>
        <w:t>一</w:t>
      </w:r>
      <w:proofErr w:type="gramEnd"/>
      <w:r w:rsidRPr="00446936">
        <w:rPr>
          <w:rFonts w:ascii="仿宋_GB2312" w:eastAsia="仿宋_GB2312" w:hint="eastAsia"/>
          <w:sz w:val="28"/>
          <w:szCs w:val="24"/>
        </w:rPr>
        <w:t>作加分，博士生共同</w:t>
      </w:r>
      <w:proofErr w:type="gramStart"/>
      <w:r w:rsidRPr="00446936">
        <w:rPr>
          <w:rFonts w:ascii="仿宋_GB2312" w:eastAsia="仿宋_GB2312" w:hint="eastAsia"/>
          <w:sz w:val="28"/>
          <w:szCs w:val="24"/>
        </w:rPr>
        <w:t>一</w:t>
      </w:r>
      <w:proofErr w:type="gramEnd"/>
      <w:r w:rsidRPr="00446936">
        <w:rPr>
          <w:rFonts w:ascii="仿宋_GB2312" w:eastAsia="仿宋_GB2312" w:hint="eastAsia"/>
          <w:sz w:val="28"/>
          <w:szCs w:val="24"/>
        </w:rPr>
        <w:t>作</w:t>
      </w:r>
      <w:proofErr w:type="gramStart"/>
      <w:r w:rsidRPr="00446936">
        <w:rPr>
          <w:rFonts w:ascii="仿宋_GB2312" w:eastAsia="仿宋_GB2312" w:hint="eastAsia"/>
          <w:sz w:val="28"/>
          <w:szCs w:val="24"/>
        </w:rPr>
        <w:t>排序第</w:t>
      </w:r>
      <w:proofErr w:type="gramEnd"/>
      <w:r w:rsidRPr="00446936">
        <w:rPr>
          <w:rFonts w:ascii="仿宋_GB2312" w:eastAsia="仿宋_GB2312" w:hint="eastAsia"/>
          <w:sz w:val="28"/>
          <w:szCs w:val="24"/>
        </w:rPr>
        <w:t>一等同一作计分，排序第二</w:t>
      </w:r>
      <w:r w:rsidR="001A1983" w:rsidRPr="00446936">
        <w:rPr>
          <w:rFonts w:ascii="仿宋_GB2312" w:eastAsia="仿宋_GB2312" w:hint="eastAsia"/>
          <w:sz w:val="28"/>
          <w:szCs w:val="24"/>
        </w:rPr>
        <w:t>及</w:t>
      </w:r>
      <w:r w:rsidR="00135A36" w:rsidRPr="00446936">
        <w:rPr>
          <w:rFonts w:ascii="仿宋_GB2312" w:eastAsia="仿宋_GB2312" w:hint="eastAsia"/>
          <w:sz w:val="28"/>
          <w:szCs w:val="24"/>
        </w:rPr>
        <w:t>以</w:t>
      </w:r>
      <w:r w:rsidR="001A1983" w:rsidRPr="00446936">
        <w:rPr>
          <w:rFonts w:ascii="仿宋_GB2312" w:eastAsia="仿宋_GB2312" w:hint="eastAsia"/>
          <w:sz w:val="28"/>
          <w:szCs w:val="24"/>
        </w:rPr>
        <w:t>后不</w:t>
      </w:r>
      <w:r w:rsidRPr="00446936">
        <w:rPr>
          <w:rFonts w:ascii="仿宋_GB2312" w:eastAsia="仿宋_GB2312" w:hint="eastAsia"/>
          <w:sz w:val="28"/>
          <w:szCs w:val="24"/>
        </w:rPr>
        <w:t>计分</w:t>
      </w:r>
      <w:r w:rsidR="002852B0" w:rsidRPr="00446936">
        <w:rPr>
          <w:rFonts w:ascii="仿宋_GB2312" w:eastAsia="仿宋_GB2312" w:hint="eastAsia"/>
          <w:sz w:val="28"/>
          <w:szCs w:val="24"/>
        </w:rPr>
        <w:t>。</w:t>
      </w:r>
    </w:p>
    <w:p w:rsidR="00E97735" w:rsidRPr="00446936" w:rsidRDefault="00166E0C" w:rsidP="005618BF">
      <w:pPr>
        <w:numPr>
          <w:ilvl w:val="0"/>
          <w:numId w:val="3"/>
        </w:numPr>
        <w:adjustRightInd w:val="0"/>
        <w:snapToGrid w:val="0"/>
        <w:spacing w:line="288" w:lineRule="auto"/>
        <w:jc w:val="both"/>
        <w:rPr>
          <w:rFonts w:ascii="仿宋_GB2312" w:eastAsia="仿宋_GB2312"/>
          <w:sz w:val="28"/>
          <w:szCs w:val="24"/>
        </w:rPr>
      </w:pPr>
      <w:r w:rsidRPr="00446936">
        <w:rPr>
          <w:rFonts w:ascii="仿宋_GB2312" w:eastAsia="仿宋_GB2312" w:hint="eastAsia"/>
          <w:sz w:val="28"/>
          <w:szCs w:val="24"/>
        </w:rPr>
        <w:t>以上条款规定之外的其余论文一律不计分。</w:t>
      </w:r>
    </w:p>
    <w:p w:rsidR="00E97735" w:rsidRPr="00446936" w:rsidRDefault="00166E0C" w:rsidP="005618BF">
      <w:pPr>
        <w:numPr>
          <w:ilvl w:val="2"/>
          <w:numId w:val="2"/>
        </w:numPr>
        <w:adjustRightInd w:val="0"/>
        <w:snapToGrid w:val="0"/>
        <w:spacing w:line="288" w:lineRule="auto"/>
        <w:jc w:val="both"/>
        <w:rPr>
          <w:rFonts w:ascii="仿宋_GB2312" w:eastAsia="仿宋_GB2312"/>
          <w:sz w:val="28"/>
          <w:szCs w:val="24"/>
        </w:rPr>
      </w:pPr>
      <w:r w:rsidRPr="00446936">
        <w:rPr>
          <w:rFonts w:ascii="仿宋_GB2312" w:eastAsia="仿宋_GB2312" w:hint="eastAsia"/>
          <w:sz w:val="28"/>
          <w:szCs w:val="24"/>
        </w:rPr>
        <w:t>发明专利：</w:t>
      </w:r>
    </w:p>
    <w:p w:rsidR="00E97735" w:rsidRPr="00F12690" w:rsidRDefault="00166E0C" w:rsidP="005618BF">
      <w:pPr>
        <w:numPr>
          <w:ilvl w:val="0"/>
          <w:numId w:val="4"/>
        </w:numPr>
        <w:adjustRightInd w:val="0"/>
        <w:snapToGrid w:val="0"/>
        <w:spacing w:line="288" w:lineRule="auto"/>
        <w:jc w:val="both"/>
        <w:rPr>
          <w:rFonts w:ascii="仿宋_GB2312" w:eastAsia="仿宋_GB2312"/>
          <w:sz w:val="28"/>
          <w:szCs w:val="24"/>
        </w:rPr>
      </w:pPr>
      <w:r w:rsidRPr="00F12690">
        <w:rPr>
          <w:rFonts w:ascii="仿宋_GB2312" w:eastAsia="仿宋_GB2312" w:hint="eastAsia"/>
          <w:sz w:val="28"/>
          <w:szCs w:val="24"/>
        </w:rPr>
        <w:t>公开专利，专利作者顺位总排名必须在前四位，在学生中排名第一的计</w:t>
      </w:r>
      <w:r w:rsidR="00BF20F3" w:rsidRPr="00F12690">
        <w:rPr>
          <w:rFonts w:ascii="仿宋_GB2312" w:eastAsia="仿宋_GB2312" w:hint="eastAsia"/>
          <w:sz w:val="28"/>
          <w:szCs w:val="24"/>
        </w:rPr>
        <w:t>2</w:t>
      </w:r>
      <w:r w:rsidRPr="00F12690">
        <w:rPr>
          <w:rFonts w:ascii="仿宋_GB2312" w:eastAsia="仿宋_GB2312" w:hint="eastAsia"/>
          <w:sz w:val="28"/>
          <w:szCs w:val="24"/>
        </w:rPr>
        <w:t>分，第二</w:t>
      </w:r>
      <w:r w:rsidR="00D3493A" w:rsidRPr="00F12690">
        <w:rPr>
          <w:rFonts w:ascii="仿宋_GB2312" w:eastAsia="仿宋_GB2312" w:hint="eastAsia"/>
          <w:sz w:val="28"/>
          <w:szCs w:val="24"/>
        </w:rPr>
        <w:t>及以后不计分，</w:t>
      </w:r>
      <w:proofErr w:type="gramStart"/>
      <w:r w:rsidR="00D3493A" w:rsidRPr="00F12690">
        <w:rPr>
          <w:rFonts w:ascii="仿宋_GB2312" w:eastAsia="仿宋_GB2312" w:hint="eastAsia"/>
          <w:sz w:val="28"/>
          <w:szCs w:val="24"/>
        </w:rPr>
        <w:t>且公开</w:t>
      </w:r>
      <w:proofErr w:type="gramEnd"/>
      <w:r w:rsidR="00D3493A" w:rsidRPr="00F12690">
        <w:rPr>
          <w:rFonts w:ascii="仿宋_GB2312" w:eastAsia="仿宋_GB2312" w:hint="eastAsia"/>
          <w:sz w:val="28"/>
          <w:szCs w:val="24"/>
        </w:rPr>
        <w:t>专利在科研成果总认定计分</w:t>
      </w:r>
      <w:r w:rsidR="008A7842" w:rsidRPr="00F12690">
        <w:rPr>
          <w:rFonts w:ascii="仿宋_GB2312" w:eastAsia="仿宋_GB2312" w:hint="eastAsia"/>
          <w:sz w:val="28"/>
          <w:szCs w:val="24"/>
        </w:rPr>
        <w:t>中</w:t>
      </w:r>
      <w:r w:rsidR="00D3493A" w:rsidRPr="00F12690">
        <w:rPr>
          <w:rFonts w:ascii="仿宋_GB2312" w:eastAsia="仿宋_GB2312" w:hint="eastAsia"/>
          <w:sz w:val="28"/>
          <w:szCs w:val="24"/>
        </w:rPr>
        <w:t>不超过20分</w:t>
      </w:r>
      <w:r w:rsidRPr="00F12690">
        <w:rPr>
          <w:rFonts w:ascii="仿宋_GB2312" w:eastAsia="仿宋_GB2312" w:hint="eastAsia"/>
          <w:sz w:val="28"/>
          <w:szCs w:val="24"/>
        </w:rPr>
        <w:t>。</w:t>
      </w:r>
    </w:p>
    <w:p w:rsidR="00E97735" w:rsidRDefault="00166E0C" w:rsidP="005618BF">
      <w:pPr>
        <w:numPr>
          <w:ilvl w:val="0"/>
          <w:numId w:val="4"/>
        </w:numPr>
        <w:adjustRightInd w:val="0"/>
        <w:snapToGrid w:val="0"/>
        <w:spacing w:line="288" w:lineRule="auto"/>
        <w:jc w:val="both"/>
        <w:rPr>
          <w:rFonts w:ascii="仿宋_GB2312" w:eastAsia="仿宋_GB2312"/>
          <w:sz w:val="28"/>
          <w:szCs w:val="24"/>
        </w:rPr>
      </w:pPr>
      <w:r w:rsidRPr="00446936">
        <w:rPr>
          <w:rFonts w:ascii="仿宋_GB2312" w:eastAsia="仿宋_GB2312" w:hint="eastAsia"/>
          <w:sz w:val="28"/>
          <w:szCs w:val="24"/>
        </w:rPr>
        <w:t>授权专利，专利作者顺位总排名必须在前四位，在</w:t>
      </w:r>
      <w:r>
        <w:rPr>
          <w:rFonts w:ascii="仿宋_GB2312" w:eastAsia="仿宋_GB2312" w:hint="eastAsia"/>
          <w:sz w:val="28"/>
          <w:szCs w:val="24"/>
        </w:rPr>
        <w:t>学生中排名第一的计6分，第二的计3分</w:t>
      </w:r>
      <w:r w:rsidR="006A4A44">
        <w:rPr>
          <w:rFonts w:ascii="仿宋_GB2312" w:eastAsia="仿宋_GB2312" w:hint="eastAsia"/>
          <w:sz w:val="28"/>
          <w:szCs w:val="24"/>
        </w:rPr>
        <w:t>，第三及</w:t>
      </w:r>
      <w:r w:rsidR="00135A36">
        <w:rPr>
          <w:rFonts w:ascii="仿宋_GB2312" w:eastAsia="仿宋_GB2312" w:hint="eastAsia"/>
          <w:sz w:val="28"/>
          <w:szCs w:val="24"/>
        </w:rPr>
        <w:t>以</w:t>
      </w:r>
      <w:r w:rsidR="006A4A44">
        <w:rPr>
          <w:rFonts w:ascii="仿宋_GB2312" w:eastAsia="仿宋_GB2312" w:hint="eastAsia"/>
          <w:sz w:val="28"/>
          <w:szCs w:val="24"/>
        </w:rPr>
        <w:t>后不计分</w:t>
      </w:r>
      <w:r>
        <w:rPr>
          <w:rFonts w:ascii="仿宋_GB2312" w:eastAsia="仿宋_GB2312" w:hint="eastAsia"/>
          <w:sz w:val="28"/>
          <w:szCs w:val="24"/>
        </w:rPr>
        <w:t>。</w:t>
      </w:r>
    </w:p>
    <w:p w:rsidR="00E97735" w:rsidRDefault="00166E0C" w:rsidP="005618BF">
      <w:pPr>
        <w:numPr>
          <w:ilvl w:val="0"/>
          <w:numId w:val="4"/>
        </w:numPr>
        <w:adjustRightInd w:val="0"/>
        <w:snapToGrid w:val="0"/>
        <w:spacing w:line="288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已获奖的作为申报依据的公开专利转为授权专利，再次参评可加算补差，学生中排名第一的补3分，学生中排名第二的补1.5分。</w:t>
      </w:r>
    </w:p>
    <w:p w:rsidR="00E97735" w:rsidRDefault="00166E0C" w:rsidP="005618BF">
      <w:pPr>
        <w:numPr>
          <w:ilvl w:val="0"/>
          <w:numId w:val="4"/>
        </w:numPr>
        <w:adjustRightInd w:val="0"/>
        <w:snapToGrid w:val="0"/>
        <w:spacing w:line="288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国际专利计分按本条第（1）、（2）款分值的2倍计算。</w:t>
      </w:r>
    </w:p>
    <w:p w:rsidR="00E97735" w:rsidRDefault="00166E0C" w:rsidP="005618BF">
      <w:pPr>
        <w:numPr>
          <w:ilvl w:val="2"/>
          <w:numId w:val="2"/>
        </w:numPr>
        <w:adjustRightInd w:val="0"/>
        <w:snapToGrid w:val="0"/>
        <w:spacing w:line="288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lastRenderedPageBreak/>
        <w:t>其他：</w:t>
      </w:r>
    </w:p>
    <w:p w:rsidR="00E97735" w:rsidRDefault="00166E0C" w:rsidP="005618BF">
      <w:pPr>
        <w:numPr>
          <w:ilvl w:val="0"/>
          <w:numId w:val="5"/>
        </w:numPr>
        <w:adjustRightInd w:val="0"/>
        <w:snapToGrid w:val="0"/>
        <w:spacing w:line="288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研究生在读期间，正式出版的本专业著作由申请者本人撰写五万字以上，并在著作中以东南大学研究生身份出现的，计8分。</w:t>
      </w:r>
    </w:p>
    <w:p w:rsidR="00E97735" w:rsidRDefault="00166E0C" w:rsidP="005618BF">
      <w:pPr>
        <w:numPr>
          <w:ilvl w:val="0"/>
          <w:numId w:val="5"/>
        </w:numPr>
        <w:adjustRightInd w:val="0"/>
        <w:snapToGrid w:val="0"/>
        <w:spacing w:line="288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研究生参与科研项目获得国家科技进步二等奖及以上，证书上有署名的学生计16分；获得省、部级科技进步二等奖及以上，证书上有署名的学生计8分。</w:t>
      </w:r>
    </w:p>
    <w:p w:rsidR="000D2689" w:rsidRPr="00032C21" w:rsidRDefault="00166E0C" w:rsidP="005618BF">
      <w:pPr>
        <w:numPr>
          <w:ilvl w:val="0"/>
          <w:numId w:val="5"/>
        </w:numPr>
        <w:adjustRightInd w:val="0"/>
        <w:snapToGrid w:val="0"/>
        <w:spacing w:line="288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研究生在读期间，以东南大学学生身份参加“挑战杯”全国大学生课外学术科技作品竞赛获得特等奖者计16分，获一等奖者计8分，获二等奖者5分，获三等奖者2分。</w:t>
      </w:r>
    </w:p>
    <w:p w:rsidR="00E97735" w:rsidRDefault="00166E0C" w:rsidP="005618BF">
      <w:pPr>
        <w:numPr>
          <w:ilvl w:val="1"/>
          <w:numId w:val="2"/>
        </w:numPr>
        <w:adjustRightInd w:val="0"/>
        <w:snapToGrid w:val="0"/>
        <w:spacing w:line="288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品行得分</w:t>
      </w:r>
    </w:p>
    <w:p w:rsidR="00E97735" w:rsidRDefault="00166E0C" w:rsidP="005618BF">
      <w:pPr>
        <w:numPr>
          <w:ilvl w:val="2"/>
          <w:numId w:val="2"/>
        </w:numPr>
        <w:adjustRightInd w:val="0"/>
        <w:snapToGrid w:val="0"/>
        <w:spacing w:line="288" w:lineRule="auto"/>
        <w:jc w:val="both"/>
        <w:rPr>
          <w:rFonts w:ascii="仿宋_GB2312" w:eastAsia="仿宋_GB2312"/>
          <w:sz w:val="28"/>
          <w:szCs w:val="24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4"/>
        </w:rPr>
        <w:t>操行等级分：</w:t>
      </w:r>
    </w:p>
    <w:p w:rsidR="00E97735" w:rsidRDefault="00166E0C" w:rsidP="005618BF">
      <w:pPr>
        <w:tabs>
          <w:tab w:val="left" w:pos="528"/>
        </w:tabs>
        <w:adjustRightInd w:val="0"/>
        <w:snapToGrid w:val="0"/>
        <w:spacing w:line="288" w:lineRule="auto"/>
        <w:ind w:leftChars="300" w:left="600"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由学院按照研究生手册相关内容进行考核，综合评价分甲、乙、丙三个等级，分数分别按照5分、4分、3分。</w:t>
      </w:r>
    </w:p>
    <w:p w:rsidR="00E97735" w:rsidRDefault="00166E0C" w:rsidP="005618BF">
      <w:pPr>
        <w:numPr>
          <w:ilvl w:val="2"/>
          <w:numId w:val="2"/>
        </w:numPr>
        <w:adjustRightInd w:val="0"/>
        <w:snapToGrid w:val="0"/>
        <w:spacing w:line="288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团体活动分：</w:t>
      </w:r>
    </w:p>
    <w:p w:rsidR="000432D8" w:rsidRDefault="00166E0C" w:rsidP="005618BF">
      <w:pPr>
        <w:pStyle w:val="1"/>
        <w:adjustRightInd w:val="0"/>
        <w:snapToGrid w:val="0"/>
        <w:spacing w:line="288" w:lineRule="auto"/>
        <w:ind w:left="595" w:firstLine="56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依据申报者组织或参与团体活动情况，由所在班级学生干部民主评定，结合学院考察得出分数，最低分为0分，最高分为8分。</w:t>
      </w:r>
    </w:p>
    <w:p w:rsidR="00E97735" w:rsidRPr="000432D8" w:rsidRDefault="000432D8" w:rsidP="005618BF">
      <w:pPr>
        <w:pStyle w:val="1"/>
        <w:adjustRightInd w:val="0"/>
        <w:snapToGrid w:val="0"/>
        <w:spacing w:line="288" w:lineRule="auto"/>
        <w:ind w:firstLineChars="15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4.</w:t>
      </w:r>
      <w:r w:rsidR="00166E0C">
        <w:rPr>
          <w:rFonts w:ascii="仿宋_GB2312" w:eastAsia="仿宋_GB2312" w:hint="eastAsia"/>
          <w:sz w:val="28"/>
        </w:rPr>
        <w:t>总分算法</w:t>
      </w:r>
    </w:p>
    <w:p w:rsidR="00E97735" w:rsidRDefault="00166E0C" w:rsidP="005618BF">
      <w:pPr>
        <w:adjustRightInd w:val="0"/>
        <w:snapToGrid w:val="0"/>
        <w:spacing w:line="288" w:lineRule="auto"/>
        <w:ind w:leftChars="300" w:left="740" w:hangingChars="50" w:hanging="140"/>
        <w:rPr>
          <w:rFonts w:ascii="仿宋_GB2312" w:eastAsia="仿宋_GB2312"/>
          <w:sz w:val="28"/>
        </w:rPr>
      </w:pPr>
      <w:r>
        <w:rPr>
          <w:rFonts w:ascii="仿宋_GB2312" w:eastAsia="仿宋_GB2312" w:hAnsi="宋体" w:hint="eastAsia"/>
          <w:sz w:val="28"/>
        </w:rPr>
        <w:t>Ⅰ、</w:t>
      </w:r>
      <w:r>
        <w:rPr>
          <w:rFonts w:ascii="仿宋_GB2312" w:eastAsia="仿宋_GB2312" w:hint="eastAsia"/>
          <w:sz w:val="28"/>
        </w:rPr>
        <w:t>二年级硕士研究生综合得分=规格化成绩+科研得分+品行得分</w:t>
      </w:r>
    </w:p>
    <w:p w:rsidR="00E97735" w:rsidRDefault="00166E0C" w:rsidP="005618BF">
      <w:pPr>
        <w:adjustRightInd w:val="0"/>
        <w:snapToGrid w:val="0"/>
        <w:spacing w:line="288" w:lineRule="auto"/>
        <w:ind w:leftChars="300" w:left="740" w:hangingChars="50" w:hanging="140"/>
        <w:rPr>
          <w:rFonts w:ascii="仿宋_GB2312" w:eastAsia="仿宋_GB2312"/>
          <w:sz w:val="28"/>
        </w:rPr>
      </w:pPr>
      <w:r>
        <w:rPr>
          <w:rFonts w:ascii="仿宋_GB2312" w:eastAsia="仿宋_GB2312" w:hAnsi="宋体" w:hint="eastAsia"/>
          <w:sz w:val="28"/>
        </w:rPr>
        <w:t>Ⅱ、</w:t>
      </w:r>
      <w:r>
        <w:rPr>
          <w:rFonts w:ascii="仿宋_GB2312" w:eastAsia="仿宋_GB2312" w:hint="eastAsia"/>
          <w:sz w:val="28"/>
        </w:rPr>
        <w:t>三年级硕士研究生综合得分=科研得分+品行得分</w:t>
      </w:r>
    </w:p>
    <w:p w:rsidR="000432D8" w:rsidRDefault="00166E0C" w:rsidP="005618BF">
      <w:pPr>
        <w:adjustRightInd w:val="0"/>
        <w:snapToGrid w:val="0"/>
        <w:spacing w:line="288" w:lineRule="auto"/>
        <w:ind w:leftChars="300" w:left="740" w:hangingChars="50" w:hanging="140"/>
        <w:rPr>
          <w:rFonts w:ascii="仿宋_GB2312" w:eastAsia="仿宋_GB2312"/>
          <w:sz w:val="28"/>
        </w:rPr>
      </w:pPr>
      <w:r>
        <w:rPr>
          <w:rFonts w:ascii="仿宋_GB2312" w:eastAsia="仿宋_GB2312" w:hAnsi="宋体" w:hint="eastAsia"/>
          <w:sz w:val="28"/>
        </w:rPr>
        <w:t>Ⅲ、</w:t>
      </w:r>
      <w:r>
        <w:rPr>
          <w:rFonts w:ascii="仿宋_GB2312" w:eastAsia="仿宋_GB2312" w:hint="eastAsia"/>
          <w:sz w:val="28"/>
        </w:rPr>
        <w:t>博士研究生综合得分=规格化成绩×30%+ 科研得分×60%+品行得分×10%</w:t>
      </w:r>
    </w:p>
    <w:p w:rsidR="00E97735" w:rsidRPr="000432D8" w:rsidRDefault="000432D8" w:rsidP="005618BF">
      <w:pPr>
        <w:adjustRightInd w:val="0"/>
        <w:snapToGrid w:val="0"/>
        <w:spacing w:line="288" w:lineRule="auto"/>
        <w:ind w:firstLineChars="150" w:firstLine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5.</w:t>
      </w:r>
      <w:r w:rsidR="00166E0C">
        <w:rPr>
          <w:rFonts w:ascii="仿宋_GB2312" w:eastAsia="仿宋_GB2312" w:hAnsi="宋体" w:hint="eastAsia"/>
          <w:sz w:val="28"/>
        </w:rPr>
        <w:t>对有特殊要求的奖学金，由学院根据实际情况评定。</w:t>
      </w:r>
    </w:p>
    <w:p w:rsidR="00E97735" w:rsidRDefault="00166E0C" w:rsidP="005618BF">
      <w:pPr>
        <w:adjustRightInd w:val="0"/>
        <w:snapToGrid w:val="0"/>
        <w:spacing w:line="288" w:lineRule="auto"/>
        <w:ind w:firstLineChars="250" w:firstLine="7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本办法的最终解释权归东南大学材料科学与工程学院。</w:t>
      </w:r>
    </w:p>
    <w:p w:rsidR="000D2689" w:rsidRDefault="000D2689" w:rsidP="005618BF">
      <w:pPr>
        <w:adjustRightInd w:val="0"/>
        <w:snapToGrid w:val="0"/>
        <w:spacing w:line="288" w:lineRule="auto"/>
        <w:ind w:firstLineChars="100" w:firstLine="280"/>
        <w:jc w:val="right"/>
        <w:rPr>
          <w:rFonts w:ascii="仿宋_GB2312" w:eastAsia="仿宋_GB2312" w:hAnsi="宋体"/>
          <w:color w:val="FF0000"/>
          <w:sz w:val="28"/>
        </w:rPr>
      </w:pPr>
    </w:p>
    <w:p w:rsidR="001065D9" w:rsidRDefault="00115038" w:rsidP="005618BF">
      <w:pPr>
        <w:adjustRightInd w:val="0"/>
        <w:snapToGrid w:val="0"/>
        <w:spacing w:line="288" w:lineRule="auto"/>
        <w:ind w:firstLineChars="100" w:firstLine="280"/>
        <w:jc w:val="righ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东南大学</w:t>
      </w:r>
      <w:r w:rsidR="00166E0C">
        <w:rPr>
          <w:rFonts w:ascii="仿宋_GB2312" w:eastAsia="仿宋_GB2312" w:hAnsi="宋体" w:hint="eastAsia"/>
          <w:sz w:val="28"/>
        </w:rPr>
        <w:t>材料</w:t>
      </w:r>
      <w:r w:rsidR="001065D9">
        <w:rPr>
          <w:rFonts w:ascii="仿宋_GB2312" w:eastAsia="仿宋_GB2312" w:hAnsi="宋体" w:hint="eastAsia"/>
          <w:sz w:val="28"/>
        </w:rPr>
        <w:t>科学与工程</w:t>
      </w:r>
      <w:r w:rsidR="00166E0C">
        <w:rPr>
          <w:rFonts w:ascii="仿宋_GB2312" w:eastAsia="仿宋_GB2312" w:hAnsi="宋体" w:hint="eastAsia"/>
          <w:sz w:val="28"/>
        </w:rPr>
        <w:t>学院</w:t>
      </w:r>
    </w:p>
    <w:p w:rsidR="00E97735" w:rsidRDefault="00166E0C" w:rsidP="005618BF">
      <w:pPr>
        <w:adjustRightInd w:val="0"/>
        <w:snapToGrid w:val="0"/>
        <w:spacing w:line="288" w:lineRule="auto"/>
        <w:ind w:firstLineChars="100" w:firstLine="280"/>
        <w:jc w:val="righ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20</w:t>
      </w:r>
      <w:r w:rsidR="005305CE">
        <w:rPr>
          <w:rFonts w:ascii="仿宋_GB2312" w:eastAsia="仿宋_GB2312" w:hAnsi="宋体" w:hint="eastAsia"/>
          <w:sz w:val="28"/>
        </w:rPr>
        <w:t>20</w:t>
      </w:r>
      <w:r>
        <w:rPr>
          <w:rFonts w:ascii="仿宋_GB2312" w:eastAsia="仿宋_GB2312" w:hAnsi="宋体" w:hint="eastAsia"/>
          <w:sz w:val="28"/>
        </w:rPr>
        <w:t>年</w:t>
      </w:r>
      <w:r w:rsidR="00BD7C5E">
        <w:rPr>
          <w:rFonts w:ascii="仿宋_GB2312" w:eastAsia="仿宋_GB2312" w:hAnsi="宋体"/>
          <w:sz w:val="28"/>
        </w:rPr>
        <w:t>9</w:t>
      </w:r>
      <w:r>
        <w:rPr>
          <w:rFonts w:ascii="仿宋_GB2312" w:eastAsia="仿宋_GB2312" w:hAnsi="宋体" w:hint="eastAsia"/>
          <w:sz w:val="28"/>
        </w:rPr>
        <w:t>月</w:t>
      </w:r>
    </w:p>
    <w:sectPr w:rsidR="00E9773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139" w:rsidRDefault="005B1139">
      <w:r>
        <w:separator/>
      </w:r>
    </w:p>
  </w:endnote>
  <w:endnote w:type="continuationSeparator" w:id="0">
    <w:p w:rsidR="005B1139" w:rsidRDefault="005B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5897508"/>
      <w:docPartObj>
        <w:docPartGallery w:val="AutoText"/>
      </w:docPartObj>
    </w:sdtPr>
    <w:sdtEndPr/>
    <w:sdtContent>
      <w:sdt>
        <w:sdtPr>
          <w:id w:val="-1669238322"/>
          <w:docPartObj>
            <w:docPartGallery w:val="AutoText"/>
          </w:docPartObj>
        </w:sdtPr>
        <w:sdtEndPr/>
        <w:sdtContent>
          <w:p w:rsidR="00E97735" w:rsidRDefault="00166E0C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2AC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2AC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139" w:rsidRDefault="005B1139">
      <w:r>
        <w:separator/>
      </w:r>
    </w:p>
  </w:footnote>
  <w:footnote w:type="continuationSeparator" w:id="0">
    <w:p w:rsidR="005B1139" w:rsidRDefault="005B1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735" w:rsidRDefault="00E9773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31B6"/>
    <w:multiLevelType w:val="multilevel"/>
    <w:tmpl w:val="024531B6"/>
    <w:lvl w:ilvl="0">
      <w:start w:val="1"/>
      <w:numFmt w:val="decimal"/>
      <w:lvlText w:val="%1)"/>
      <w:lvlJc w:val="left"/>
      <w:pPr>
        <w:tabs>
          <w:tab w:val="left" w:pos="1436"/>
        </w:tabs>
        <w:ind w:left="1436" w:hanging="420"/>
      </w:pPr>
    </w:lvl>
    <w:lvl w:ilvl="1">
      <w:start w:val="1"/>
      <w:numFmt w:val="lowerLetter"/>
      <w:lvlText w:val="%2)"/>
      <w:lvlJc w:val="left"/>
      <w:pPr>
        <w:tabs>
          <w:tab w:val="left" w:pos="1856"/>
        </w:tabs>
        <w:ind w:left="1856" w:hanging="420"/>
      </w:pPr>
    </w:lvl>
    <w:lvl w:ilvl="2">
      <w:start w:val="1"/>
      <w:numFmt w:val="lowerRoman"/>
      <w:lvlText w:val="%3."/>
      <w:lvlJc w:val="right"/>
      <w:pPr>
        <w:tabs>
          <w:tab w:val="left" w:pos="2276"/>
        </w:tabs>
        <w:ind w:left="2276" w:hanging="420"/>
      </w:pPr>
    </w:lvl>
    <w:lvl w:ilvl="3">
      <w:start w:val="1"/>
      <w:numFmt w:val="decimal"/>
      <w:lvlText w:val="%4."/>
      <w:lvlJc w:val="left"/>
      <w:pPr>
        <w:tabs>
          <w:tab w:val="left" w:pos="2696"/>
        </w:tabs>
        <w:ind w:left="2696" w:hanging="420"/>
      </w:pPr>
    </w:lvl>
    <w:lvl w:ilvl="4">
      <w:start w:val="1"/>
      <w:numFmt w:val="lowerLetter"/>
      <w:lvlText w:val="%5)"/>
      <w:lvlJc w:val="left"/>
      <w:pPr>
        <w:tabs>
          <w:tab w:val="left" w:pos="3116"/>
        </w:tabs>
        <w:ind w:left="3116" w:hanging="420"/>
      </w:pPr>
    </w:lvl>
    <w:lvl w:ilvl="5">
      <w:start w:val="1"/>
      <w:numFmt w:val="lowerRoman"/>
      <w:lvlText w:val="%6."/>
      <w:lvlJc w:val="right"/>
      <w:pPr>
        <w:tabs>
          <w:tab w:val="left" w:pos="3536"/>
        </w:tabs>
        <w:ind w:left="3536" w:hanging="420"/>
      </w:pPr>
    </w:lvl>
    <w:lvl w:ilvl="6">
      <w:start w:val="1"/>
      <w:numFmt w:val="decimal"/>
      <w:lvlText w:val="%7."/>
      <w:lvlJc w:val="left"/>
      <w:pPr>
        <w:tabs>
          <w:tab w:val="left" w:pos="3956"/>
        </w:tabs>
        <w:ind w:left="3956" w:hanging="420"/>
      </w:pPr>
    </w:lvl>
    <w:lvl w:ilvl="7">
      <w:start w:val="1"/>
      <w:numFmt w:val="lowerLetter"/>
      <w:lvlText w:val="%8)"/>
      <w:lvlJc w:val="left"/>
      <w:pPr>
        <w:tabs>
          <w:tab w:val="left" w:pos="4376"/>
        </w:tabs>
        <w:ind w:left="4376" w:hanging="420"/>
      </w:pPr>
    </w:lvl>
    <w:lvl w:ilvl="8">
      <w:start w:val="1"/>
      <w:numFmt w:val="lowerRoman"/>
      <w:lvlText w:val="%9."/>
      <w:lvlJc w:val="right"/>
      <w:pPr>
        <w:tabs>
          <w:tab w:val="left" w:pos="4796"/>
        </w:tabs>
        <w:ind w:left="4796" w:hanging="420"/>
      </w:pPr>
    </w:lvl>
  </w:abstractNum>
  <w:abstractNum w:abstractNumId="1" w15:restartNumberingAfterBreak="0">
    <w:nsid w:val="05B056E3"/>
    <w:multiLevelType w:val="multilevel"/>
    <w:tmpl w:val="05B056E3"/>
    <w:lvl w:ilvl="0">
      <w:start w:val="1"/>
      <w:numFmt w:val="decimal"/>
      <w:lvlText w:val="%1)"/>
      <w:lvlJc w:val="left"/>
      <w:pPr>
        <w:tabs>
          <w:tab w:val="left" w:pos="1436"/>
        </w:tabs>
        <w:ind w:left="1436" w:hanging="420"/>
      </w:pPr>
    </w:lvl>
    <w:lvl w:ilvl="1">
      <w:start w:val="1"/>
      <w:numFmt w:val="lowerLetter"/>
      <w:lvlText w:val="%2)"/>
      <w:lvlJc w:val="left"/>
      <w:pPr>
        <w:tabs>
          <w:tab w:val="left" w:pos="1856"/>
        </w:tabs>
        <w:ind w:left="1856" w:hanging="420"/>
      </w:pPr>
    </w:lvl>
    <w:lvl w:ilvl="2">
      <w:start w:val="1"/>
      <w:numFmt w:val="lowerRoman"/>
      <w:lvlText w:val="%3."/>
      <w:lvlJc w:val="right"/>
      <w:pPr>
        <w:tabs>
          <w:tab w:val="left" w:pos="2276"/>
        </w:tabs>
        <w:ind w:left="2276" w:hanging="420"/>
      </w:pPr>
    </w:lvl>
    <w:lvl w:ilvl="3">
      <w:start w:val="1"/>
      <w:numFmt w:val="decimal"/>
      <w:lvlText w:val="%4."/>
      <w:lvlJc w:val="left"/>
      <w:pPr>
        <w:tabs>
          <w:tab w:val="left" w:pos="2696"/>
        </w:tabs>
        <w:ind w:left="2696" w:hanging="420"/>
      </w:pPr>
    </w:lvl>
    <w:lvl w:ilvl="4">
      <w:start w:val="1"/>
      <w:numFmt w:val="lowerLetter"/>
      <w:lvlText w:val="%5)"/>
      <w:lvlJc w:val="left"/>
      <w:pPr>
        <w:tabs>
          <w:tab w:val="left" w:pos="3116"/>
        </w:tabs>
        <w:ind w:left="3116" w:hanging="420"/>
      </w:pPr>
    </w:lvl>
    <w:lvl w:ilvl="5">
      <w:start w:val="1"/>
      <w:numFmt w:val="lowerRoman"/>
      <w:lvlText w:val="%6."/>
      <w:lvlJc w:val="right"/>
      <w:pPr>
        <w:tabs>
          <w:tab w:val="left" w:pos="3536"/>
        </w:tabs>
        <w:ind w:left="3536" w:hanging="420"/>
      </w:pPr>
    </w:lvl>
    <w:lvl w:ilvl="6">
      <w:start w:val="1"/>
      <w:numFmt w:val="decimal"/>
      <w:lvlText w:val="%7."/>
      <w:lvlJc w:val="left"/>
      <w:pPr>
        <w:tabs>
          <w:tab w:val="left" w:pos="3956"/>
        </w:tabs>
        <w:ind w:left="3956" w:hanging="420"/>
      </w:pPr>
    </w:lvl>
    <w:lvl w:ilvl="7">
      <w:start w:val="1"/>
      <w:numFmt w:val="lowerLetter"/>
      <w:lvlText w:val="%8)"/>
      <w:lvlJc w:val="left"/>
      <w:pPr>
        <w:tabs>
          <w:tab w:val="left" w:pos="4376"/>
        </w:tabs>
        <w:ind w:left="4376" w:hanging="420"/>
      </w:pPr>
    </w:lvl>
    <w:lvl w:ilvl="8">
      <w:start w:val="1"/>
      <w:numFmt w:val="lowerRoman"/>
      <w:lvlText w:val="%9."/>
      <w:lvlJc w:val="right"/>
      <w:pPr>
        <w:tabs>
          <w:tab w:val="left" w:pos="4796"/>
        </w:tabs>
        <w:ind w:left="4796" w:hanging="420"/>
      </w:pPr>
    </w:lvl>
  </w:abstractNum>
  <w:abstractNum w:abstractNumId="2" w15:restartNumberingAfterBreak="0">
    <w:nsid w:val="13F270DB"/>
    <w:multiLevelType w:val="multilevel"/>
    <w:tmpl w:val="13F270DB"/>
    <w:lvl w:ilvl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>
      <w:start w:val="1"/>
      <w:numFmt w:val="upperRoman"/>
      <w:lvlText w:val="%3."/>
      <w:lvlJc w:val="right"/>
      <w:pPr>
        <w:tabs>
          <w:tab w:val="left" w:pos="839"/>
        </w:tabs>
        <w:ind w:left="0" w:firstLine="84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567F7B33"/>
    <w:multiLevelType w:val="multilevel"/>
    <w:tmpl w:val="2D00ADBE"/>
    <w:lvl w:ilvl="0">
      <w:start w:val="1"/>
      <w:numFmt w:val="decimal"/>
      <w:lvlText w:val="%1."/>
      <w:lvlJc w:val="left"/>
      <w:pPr>
        <w:tabs>
          <w:tab w:val="left" w:pos="595"/>
        </w:tabs>
        <w:ind w:left="595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075"/>
        </w:tabs>
        <w:ind w:left="1075" w:hanging="420"/>
      </w:pPr>
    </w:lvl>
    <w:lvl w:ilvl="2">
      <w:start w:val="1"/>
      <w:numFmt w:val="lowerRoman"/>
      <w:lvlText w:val="%3."/>
      <w:lvlJc w:val="right"/>
      <w:pPr>
        <w:tabs>
          <w:tab w:val="left" w:pos="1495"/>
        </w:tabs>
        <w:ind w:left="1495" w:hanging="420"/>
      </w:pPr>
    </w:lvl>
    <w:lvl w:ilvl="3">
      <w:start w:val="1"/>
      <w:numFmt w:val="decimal"/>
      <w:lvlText w:val="%4."/>
      <w:lvlJc w:val="left"/>
      <w:pPr>
        <w:tabs>
          <w:tab w:val="left" w:pos="1915"/>
        </w:tabs>
        <w:ind w:left="1915" w:hanging="420"/>
      </w:pPr>
    </w:lvl>
    <w:lvl w:ilvl="4">
      <w:start w:val="1"/>
      <w:numFmt w:val="lowerLetter"/>
      <w:lvlText w:val="%5)"/>
      <w:lvlJc w:val="left"/>
      <w:pPr>
        <w:tabs>
          <w:tab w:val="left" w:pos="2335"/>
        </w:tabs>
        <w:ind w:left="2335" w:hanging="420"/>
      </w:pPr>
    </w:lvl>
    <w:lvl w:ilvl="5">
      <w:start w:val="1"/>
      <w:numFmt w:val="lowerRoman"/>
      <w:lvlText w:val="%6."/>
      <w:lvlJc w:val="right"/>
      <w:pPr>
        <w:tabs>
          <w:tab w:val="left" w:pos="2755"/>
        </w:tabs>
        <w:ind w:left="2755" w:hanging="420"/>
      </w:pPr>
    </w:lvl>
    <w:lvl w:ilvl="6">
      <w:start w:val="1"/>
      <w:numFmt w:val="decimal"/>
      <w:lvlText w:val="%7."/>
      <w:lvlJc w:val="left"/>
      <w:pPr>
        <w:tabs>
          <w:tab w:val="left" w:pos="3175"/>
        </w:tabs>
        <w:ind w:left="3175" w:hanging="420"/>
      </w:pPr>
    </w:lvl>
    <w:lvl w:ilvl="7">
      <w:start w:val="1"/>
      <w:numFmt w:val="lowerLetter"/>
      <w:lvlText w:val="%8)"/>
      <w:lvlJc w:val="left"/>
      <w:pPr>
        <w:tabs>
          <w:tab w:val="left" w:pos="3595"/>
        </w:tabs>
        <w:ind w:left="3595" w:hanging="420"/>
      </w:pPr>
    </w:lvl>
    <w:lvl w:ilvl="8">
      <w:start w:val="1"/>
      <w:numFmt w:val="lowerRoman"/>
      <w:lvlText w:val="%9."/>
      <w:lvlJc w:val="right"/>
      <w:pPr>
        <w:tabs>
          <w:tab w:val="left" w:pos="4015"/>
        </w:tabs>
        <w:ind w:left="4015" w:hanging="420"/>
      </w:pPr>
    </w:lvl>
  </w:abstractNum>
  <w:abstractNum w:abstractNumId="4" w15:restartNumberingAfterBreak="0">
    <w:nsid w:val="634F154D"/>
    <w:multiLevelType w:val="hybridMultilevel"/>
    <w:tmpl w:val="AA9E017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AD6461E"/>
    <w:multiLevelType w:val="multilevel"/>
    <w:tmpl w:val="7AD6461E"/>
    <w:lvl w:ilvl="0">
      <w:start w:val="1"/>
      <w:numFmt w:val="decimal"/>
      <w:lvlText w:val="%1)"/>
      <w:lvlJc w:val="left"/>
      <w:pPr>
        <w:tabs>
          <w:tab w:val="left" w:pos="1436"/>
        </w:tabs>
        <w:ind w:left="1436" w:hanging="420"/>
      </w:pPr>
    </w:lvl>
    <w:lvl w:ilvl="1">
      <w:start w:val="1"/>
      <w:numFmt w:val="lowerLetter"/>
      <w:lvlText w:val="%2)"/>
      <w:lvlJc w:val="left"/>
      <w:pPr>
        <w:tabs>
          <w:tab w:val="left" w:pos="1856"/>
        </w:tabs>
        <w:ind w:left="1856" w:hanging="420"/>
      </w:pPr>
    </w:lvl>
    <w:lvl w:ilvl="2">
      <w:start w:val="1"/>
      <w:numFmt w:val="lowerRoman"/>
      <w:lvlText w:val="%3."/>
      <w:lvlJc w:val="right"/>
      <w:pPr>
        <w:tabs>
          <w:tab w:val="left" w:pos="2276"/>
        </w:tabs>
        <w:ind w:left="2276" w:hanging="420"/>
      </w:pPr>
    </w:lvl>
    <w:lvl w:ilvl="3">
      <w:start w:val="1"/>
      <w:numFmt w:val="decimal"/>
      <w:lvlText w:val="%4."/>
      <w:lvlJc w:val="left"/>
      <w:pPr>
        <w:tabs>
          <w:tab w:val="left" w:pos="2696"/>
        </w:tabs>
        <w:ind w:left="2696" w:hanging="420"/>
      </w:pPr>
    </w:lvl>
    <w:lvl w:ilvl="4">
      <w:start w:val="1"/>
      <w:numFmt w:val="lowerLetter"/>
      <w:lvlText w:val="%5)"/>
      <w:lvlJc w:val="left"/>
      <w:pPr>
        <w:tabs>
          <w:tab w:val="left" w:pos="3116"/>
        </w:tabs>
        <w:ind w:left="3116" w:hanging="420"/>
      </w:pPr>
    </w:lvl>
    <w:lvl w:ilvl="5">
      <w:start w:val="1"/>
      <w:numFmt w:val="lowerRoman"/>
      <w:lvlText w:val="%6."/>
      <w:lvlJc w:val="right"/>
      <w:pPr>
        <w:tabs>
          <w:tab w:val="left" w:pos="3536"/>
        </w:tabs>
        <w:ind w:left="3536" w:hanging="420"/>
      </w:pPr>
    </w:lvl>
    <w:lvl w:ilvl="6">
      <w:start w:val="1"/>
      <w:numFmt w:val="decimal"/>
      <w:lvlText w:val="%7."/>
      <w:lvlJc w:val="left"/>
      <w:pPr>
        <w:tabs>
          <w:tab w:val="left" w:pos="3956"/>
        </w:tabs>
        <w:ind w:left="3956" w:hanging="420"/>
      </w:pPr>
    </w:lvl>
    <w:lvl w:ilvl="7">
      <w:start w:val="1"/>
      <w:numFmt w:val="lowerLetter"/>
      <w:lvlText w:val="%8)"/>
      <w:lvlJc w:val="left"/>
      <w:pPr>
        <w:tabs>
          <w:tab w:val="left" w:pos="4376"/>
        </w:tabs>
        <w:ind w:left="4376" w:hanging="420"/>
      </w:pPr>
    </w:lvl>
    <w:lvl w:ilvl="8">
      <w:start w:val="1"/>
      <w:numFmt w:val="lowerRoman"/>
      <w:lvlText w:val="%9."/>
      <w:lvlJc w:val="right"/>
      <w:pPr>
        <w:tabs>
          <w:tab w:val="left" w:pos="4796"/>
        </w:tabs>
        <w:ind w:left="4796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A0E"/>
    <w:rsid w:val="00004E07"/>
    <w:rsid w:val="00010F1C"/>
    <w:rsid w:val="00015B0C"/>
    <w:rsid w:val="00023975"/>
    <w:rsid w:val="00024B79"/>
    <w:rsid w:val="00027AF4"/>
    <w:rsid w:val="00032C21"/>
    <w:rsid w:val="00032F95"/>
    <w:rsid w:val="00036F5F"/>
    <w:rsid w:val="00042CD4"/>
    <w:rsid w:val="000432D8"/>
    <w:rsid w:val="0008447B"/>
    <w:rsid w:val="000B257D"/>
    <w:rsid w:val="000D2689"/>
    <w:rsid w:val="000D6F68"/>
    <w:rsid w:val="000D769D"/>
    <w:rsid w:val="000E36AC"/>
    <w:rsid w:val="000F26F8"/>
    <w:rsid w:val="001065D9"/>
    <w:rsid w:val="00106C9A"/>
    <w:rsid w:val="00115038"/>
    <w:rsid w:val="00122AFC"/>
    <w:rsid w:val="00135A36"/>
    <w:rsid w:val="00146644"/>
    <w:rsid w:val="00146681"/>
    <w:rsid w:val="0014689A"/>
    <w:rsid w:val="0015752E"/>
    <w:rsid w:val="00161583"/>
    <w:rsid w:val="00166E0C"/>
    <w:rsid w:val="00170025"/>
    <w:rsid w:val="001713F5"/>
    <w:rsid w:val="00184BCE"/>
    <w:rsid w:val="001A1983"/>
    <w:rsid w:val="001D7D21"/>
    <w:rsid w:val="00211D69"/>
    <w:rsid w:val="002204F5"/>
    <w:rsid w:val="002225B0"/>
    <w:rsid w:val="00224F81"/>
    <w:rsid w:val="00230AC1"/>
    <w:rsid w:val="002373CD"/>
    <w:rsid w:val="00240868"/>
    <w:rsid w:val="00256B72"/>
    <w:rsid w:val="0026040B"/>
    <w:rsid w:val="00271217"/>
    <w:rsid w:val="002716BE"/>
    <w:rsid w:val="002852B0"/>
    <w:rsid w:val="002A7256"/>
    <w:rsid w:val="002B422A"/>
    <w:rsid w:val="002C3504"/>
    <w:rsid w:val="002C57A0"/>
    <w:rsid w:val="00300CD7"/>
    <w:rsid w:val="00301FC4"/>
    <w:rsid w:val="0030640D"/>
    <w:rsid w:val="00324E12"/>
    <w:rsid w:val="00346D23"/>
    <w:rsid w:val="00353B51"/>
    <w:rsid w:val="00381CE9"/>
    <w:rsid w:val="00385B8E"/>
    <w:rsid w:val="003C0A6B"/>
    <w:rsid w:val="003C72E5"/>
    <w:rsid w:val="003D34AB"/>
    <w:rsid w:val="003D77AE"/>
    <w:rsid w:val="004115A8"/>
    <w:rsid w:val="00421069"/>
    <w:rsid w:val="0042236D"/>
    <w:rsid w:val="004359FD"/>
    <w:rsid w:val="00445DBA"/>
    <w:rsid w:val="00446936"/>
    <w:rsid w:val="00455E99"/>
    <w:rsid w:val="004709CB"/>
    <w:rsid w:val="00477BE4"/>
    <w:rsid w:val="0048114C"/>
    <w:rsid w:val="00482C9C"/>
    <w:rsid w:val="00493827"/>
    <w:rsid w:val="004A081C"/>
    <w:rsid w:val="004A155E"/>
    <w:rsid w:val="004A3945"/>
    <w:rsid w:val="004A6C41"/>
    <w:rsid w:val="004B0D17"/>
    <w:rsid w:val="004B3FBA"/>
    <w:rsid w:val="004B54FB"/>
    <w:rsid w:val="004B7BAB"/>
    <w:rsid w:val="004C314E"/>
    <w:rsid w:val="005059CD"/>
    <w:rsid w:val="0051056C"/>
    <w:rsid w:val="0052000B"/>
    <w:rsid w:val="005236DD"/>
    <w:rsid w:val="00525554"/>
    <w:rsid w:val="005305CE"/>
    <w:rsid w:val="00530A83"/>
    <w:rsid w:val="00541889"/>
    <w:rsid w:val="00543345"/>
    <w:rsid w:val="005562F4"/>
    <w:rsid w:val="005618BF"/>
    <w:rsid w:val="0056408D"/>
    <w:rsid w:val="00574989"/>
    <w:rsid w:val="005A3C9C"/>
    <w:rsid w:val="005B07F2"/>
    <w:rsid w:val="005B1139"/>
    <w:rsid w:val="005D16CD"/>
    <w:rsid w:val="005D69B1"/>
    <w:rsid w:val="005E0076"/>
    <w:rsid w:val="005E402B"/>
    <w:rsid w:val="00603CB2"/>
    <w:rsid w:val="00606BE2"/>
    <w:rsid w:val="006104B4"/>
    <w:rsid w:val="006120FE"/>
    <w:rsid w:val="00625FE4"/>
    <w:rsid w:val="006436CD"/>
    <w:rsid w:val="00655142"/>
    <w:rsid w:val="00665135"/>
    <w:rsid w:val="006865E2"/>
    <w:rsid w:val="00697FFC"/>
    <w:rsid w:val="006A4A44"/>
    <w:rsid w:val="006D670B"/>
    <w:rsid w:val="006E1AF7"/>
    <w:rsid w:val="006E2A53"/>
    <w:rsid w:val="0072796F"/>
    <w:rsid w:val="007406C7"/>
    <w:rsid w:val="00746325"/>
    <w:rsid w:val="00757ED1"/>
    <w:rsid w:val="00763014"/>
    <w:rsid w:val="00763477"/>
    <w:rsid w:val="00765EBC"/>
    <w:rsid w:val="0076683E"/>
    <w:rsid w:val="00790C71"/>
    <w:rsid w:val="007A01F0"/>
    <w:rsid w:val="007A1B93"/>
    <w:rsid w:val="007C149C"/>
    <w:rsid w:val="007C14C5"/>
    <w:rsid w:val="007D1F8C"/>
    <w:rsid w:val="007E0D77"/>
    <w:rsid w:val="007E68F3"/>
    <w:rsid w:val="007E6E33"/>
    <w:rsid w:val="007F118B"/>
    <w:rsid w:val="00801819"/>
    <w:rsid w:val="00811D17"/>
    <w:rsid w:val="00816C52"/>
    <w:rsid w:val="00817751"/>
    <w:rsid w:val="00820DFF"/>
    <w:rsid w:val="00842095"/>
    <w:rsid w:val="00843064"/>
    <w:rsid w:val="00855701"/>
    <w:rsid w:val="0086149C"/>
    <w:rsid w:val="008634DD"/>
    <w:rsid w:val="008734D1"/>
    <w:rsid w:val="00874088"/>
    <w:rsid w:val="00876E6F"/>
    <w:rsid w:val="008829F4"/>
    <w:rsid w:val="008905E4"/>
    <w:rsid w:val="008A1ADC"/>
    <w:rsid w:val="008A3E64"/>
    <w:rsid w:val="008A7842"/>
    <w:rsid w:val="008B2191"/>
    <w:rsid w:val="008B2EEC"/>
    <w:rsid w:val="008C043C"/>
    <w:rsid w:val="008E65AA"/>
    <w:rsid w:val="00900EC5"/>
    <w:rsid w:val="00901FB2"/>
    <w:rsid w:val="00911626"/>
    <w:rsid w:val="00911B87"/>
    <w:rsid w:val="00923380"/>
    <w:rsid w:val="009264A0"/>
    <w:rsid w:val="0092759D"/>
    <w:rsid w:val="00941F89"/>
    <w:rsid w:val="009442BA"/>
    <w:rsid w:val="00945211"/>
    <w:rsid w:val="009D46DC"/>
    <w:rsid w:val="009D67E8"/>
    <w:rsid w:val="009E130A"/>
    <w:rsid w:val="009F1212"/>
    <w:rsid w:val="00A10284"/>
    <w:rsid w:val="00A21B62"/>
    <w:rsid w:val="00A260A4"/>
    <w:rsid w:val="00A4697B"/>
    <w:rsid w:val="00A506DB"/>
    <w:rsid w:val="00A5454B"/>
    <w:rsid w:val="00A63E1A"/>
    <w:rsid w:val="00A71952"/>
    <w:rsid w:val="00A803D0"/>
    <w:rsid w:val="00AC1B0B"/>
    <w:rsid w:val="00AD2680"/>
    <w:rsid w:val="00AD5AE5"/>
    <w:rsid w:val="00AE10B5"/>
    <w:rsid w:val="00B03BB9"/>
    <w:rsid w:val="00B11D34"/>
    <w:rsid w:val="00B32CB6"/>
    <w:rsid w:val="00B3327B"/>
    <w:rsid w:val="00B34D0A"/>
    <w:rsid w:val="00B37B63"/>
    <w:rsid w:val="00B46493"/>
    <w:rsid w:val="00B54477"/>
    <w:rsid w:val="00B6295B"/>
    <w:rsid w:val="00B81385"/>
    <w:rsid w:val="00B92DC6"/>
    <w:rsid w:val="00BA0552"/>
    <w:rsid w:val="00BD0D6D"/>
    <w:rsid w:val="00BD7C5E"/>
    <w:rsid w:val="00BE4510"/>
    <w:rsid w:val="00BF1897"/>
    <w:rsid w:val="00BF20F3"/>
    <w:rsid w:val="00C04BFE"/>
    <w:rsid w:val="00C32563"/>
    <w:rsid w:val="00C54C79"/>
    <w:rsid w:val="00C606A8"/>
    <w:rsid w:val="00C62ACC"/>
    <w:rsid w:val="00C62C83"/>
    <w:rsid w:val="00C75A1F"/>
    <w:rsid w:val="00C807C8"/>
    <w:rsid w:val="00C846B8"/>
    <w:rsid w:val="00CC68CC"/>
    <w:rsid w:val="00CD5190"/>
    <w:rsid w:val="00CD5835"/>
    <w:rsid w:val="00CE1A9A"/>
    <w:rsid w:val="00CF76B1"/>
    <w:rsid w:val="00D30CA5"/>
    <w:rsid w:val="00D31C41"/>
    <w:rsid w:val="00D3493A"/>
    <w:rsid w:val="00D350BB"/>
    <w:rsid w:val="00D362C9"/>
    <w:rsid w:val="00D5679B"/>
    <w:rsid w:val="00D72A0E"/>
    <w:rsid w:val="00D9166B"/>
    <w:rsid w:val="00D95DF0"/>
    <w:rsid w:val="00DB32A4"/>
    <w:rsid w:val="00DD5D7E"/>
    <w:rsid w:val="00DE17B1"/>
    <w:rsid w:val="00DE2B53"/>
    <w:rsid w:val="00DE487E"/>
    <w:rsid w:val="00E17DA3"/>
    <w:rsid w:val="00E22B6B"/>
    <w:rsid w:val="00E25F01"/>
    <w:rsid w:val="00E37571"/>
    <w:rsid w:val="00E81D4E"/>
    <w:rsid w:val="00E91501"/>
    <w:rsid w:val="00E97735"/>
    <w:rsid w:val="00EA63B1"/>
    <w:rsid w:val="00EA6DF8"/>
    <w:rsid w:val="00EB53E8"/>
    <w:rsid w:val="00EE46F6"/>
    <w:rsid w:val="00EF2A3C"/>
    <w:rsid w:val="00F023AA"/>
    <w:rsid w:val="00F11570"/>
    <w:rsid w:val="00F12690"/>
    <w:rsid w:val="00F226D5"/>
    <w:rsid w:val="00F32215"/>
    <w:rsid w:val="00F42F27"/>
    <w:rsid w:val="00F60528"/>
    <w:rsid w:val="00F667DC"/>
    <w:rsid w:val="00F7252A"/>
    <w:rsid w:val="00FA4F35"/>
    <w:rsid w:val="00FD3DA0"/>
    <w:rsid w:val="00FE047E"/>
    <w:rsid w:val="00FE3C9B"/>
    <w:rsid w:val="1D080BD2"/>
    <w:rsid w:val="385131E3"/>
    <w:rsid w:val="3E613867"/>
    <w:rsid w:val="601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97B4C"/>
  <w15:docId w15:val="{0B08B433-233B-43BC-A400-201B8232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uiPriority w:val="99"/>
    <w:semiHidden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semiHidden/>
    <w:unhideWhenUsed/>
    <w:rsid w:val="00C846B8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C846B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270</Words>
  <Characters>1539</Characters>
  <Application>Microsoft Office Word</Application>
  <DocSecurity>0</DocSecurity>
  <Lines>12</Lines>
  <Paragraphs>3</Paragraphs>
  <ScaleCrop>false</ScaleCrop>
  <Company>微软中国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东南大学材料科学与工程学院</dc:title>
  <dc:creator>微软用户</dc:creator>
  <cp:lastModifiedBy>shao liliang</cp:lastModifiedBy>
  <cp:revision>127</cp:revision>
  <cp:lastPrinted>2020-05-25T03:18:00Z</cp:lastPrinted>
  <dcterms:created xsi:type="dcterms:W3CDTF">2014-09-30T10:57:00Z</dcterms:created>
  <dcterms:modified xsi:type="dcterms:W3CDTF">2020-09-28T06:11:00Z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